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06" w:rsidRDefault="008E3706" w:rsidP="008E3706">
      <w:pPr>
        <w:pStyle w:val="Heading1"/>
        <w:jc w:val="center"/>
        <w:rPr>
          <w:sz w:val="48"/>
          <w:szCs w:val="48"/>
        </w:rPr>
      </w:pPr>
      <w:bookmarkStart w:id="0" w:name="_Toc105938016"/>
      <w:r>
        <w:rPr>
          <w:sz w:val="48"/>
          <w:szCs w:val="48"/>
        </w:rPr>
        <w:t>F. Sector:</w:t>
      </w:r>
      <w:bookmarkEnd w:id="0"/>
      <w:r>
        <w:rPr>
          <w:sz w:val="48"/>
          <w:szCs w:val="48"/>
        </w:rPr>
        <w:t xml:space="preserve"> </w:t>
      </w:r>
    </w:p>
    <w:p w:rsidR="008E3706" w:rsidRDefault="008E3706" w:rsidP="008E3706">
      <w:pPr>
        <w:pStyle w:val="Heading1"/>
        <w:jc w:val="center"/>
        <w:rPr>
          <w:sz w:val="48"/>
          <w:szCs w:val="48"/>
        </w:rPr>
      </w:pPr>
      <w:bookmarkStart w:id="1" w:name="_Toc105938017"/>
      <w:r>
        <w:rPr>
          <w:sz w:val="48"/>
          <w:szCs w:val="48"/>
        </w:rPr>
        <w:t>HUMAN RESOURCES AND SUSTAINABLE DEVELOPMENT</w:t>
      </w:r>
      <w:bookmarkEnd w:id="1"/>
    </w:p>
    <w:p w:rsidR="008E3706" w:rsidRDefault="008E3706" w:rsidP="008E3706">
      <w:pPr>
        <w:jc w:val="both"/>
      </w:pPr>
    </w:p>
    <w:p w:rsidR="008E3706" w:rsidRDefault="008E3706" w:rsidP="008E3706">
      <w:pPr>
        <w:spacing w:after="0" w:line="240" w:lineRule="auto"/>
        <w:jc w:val="both"/>
        <w:rPr>
          <w:rFonts w:ascii="Arial" w:hAnsi="Arial"/>
          <w:sz w:val="24"/>
          <w:szCs w:val="24"/>
        </w:rPr>
      </w:pPr>
      <w:r>
        <w:rPr>
          <w:rFonts w:ascii="Arial" w:hAnsi="Arial"/>
          <w:sz w:val="24"/>
          <w:szCs w:val="24"/>
          <w:u w:val="single"/>
        </w:rPr>
        <w:t>Summary</w:t>
      </w:r>
      <w:r>
        <w:rPr>
          <w:rFonts w:ascii="Arial" w:hAnsi="Arial"/>
          <w:sz w:val="24"/>
          <w:szCs w:val="24"/>
        </w:rPr>
        <w:t>:</w:t>
      </w:r>
    </w:p>
    <w:p w:rsidR="008E3706" w:rsidRDefault="008E3706" w:rsidP="008E3706">
      <w:pPr>
        <w:spacing w:after="0" w:line="240" w:lineRule="auto"/>
        <w:jc w:val="both"/>
        <w:rPr>
          <w:rFonts w:ascii="Arial" w:hAnsi="Arial"/>
          <w:sz w:val="24"/>
          <w:szCs w:val="24"/>
        </w:rPr>
      </w:pPr>
      <w:r>
        <w:rPr>
          <w:rFonts w:ascii="Arial" w:hAnsi="Arial"/>
          <w:sz w:val="24"/>
          <w:szCs w:val="24"/>
        </w:rPr>
        <w:t xml:space="preserve">The Directorate of Human Resources and Sustainable Development (HRSD) has completed phase one (1) project bout </w:t>
      </w:r>
      <w:r w:rsidRPr="008F474C">
        <w:rPr>
          <w:rFonts w:ascii="Arial" w:hAnsi="Arial"/>
          <w:b/>
          <w:bCs/>
          <w:sz w:val="24"/>
          <w:szCs w:val="24"/>
          <w:u w:val="single"/>
        </w:rPr>
        <w:t xml:space="preserve">feasibility </w:t>
      </w:r>
      <w:r w:rsidRPr="008F474C">
        <w:rPr>
          <w:rFonts w:ascii="Arial" w:hAnsi="Arial"/>
          <w:b/>
          <w:bCs/>
          <w:sz w:val="26"/>
          <w:szCs w:val="26"/>
          <w:u w:val="single"/>
        </w:rPr>
        <w:t>Regional</w:t>
      </w:r>
      <w:r>
        <w:rPr>
          <w:rFonts w:ascii="Arial" w:hAnsi="Arial"/>
          <w:b/>
          <w:bCs/>
          <w:sz w:val="26"/>
          <w:szCs w:val="26"/>
          <w:u w:val="single"/>
        </w:rPr>
        <w:t xml:space="preserve"> capacity on Intra-trade of pharmaceuticals (RCIP)</w:t>
      </w:r>
      <w:r>
        <w:rPr>
          <w:rFonts w:ascii="Arial" w:hAnsi="Arial"/>
          <w:sz w:val="26"/>
          <w:szCs w:val="26"/>
          <w:u w:val="single"/>
        </w:rPr>
        <w:t>”</w:t>
      </w:r>
      <w:r>
        <w:rPr>
          <w:rFonts w:ascii="Arial" w:hAnsi="Arial"/>
          <w:sz w:val="24"/>
          <w:szCs w:val="24"/>
        </w:rPr>
        <w:t>during the previous year of 2021. The information about the project completion was reflected in the 15</w:t>
      </w:r>
      <w:r>
        <w:rPr>
          <w:rFonts w:ascii="Arial" w:hAnsi="Arial"/>
          <w:sz w:val="24"/>
          <w:szCs w:val="24"/>
          <w:vertAlign w:val="superscript"/>
        </w:rPr>
        <w:t>th</w:t>
      </w:r>
      <w:r>
        <w:rPr>
          <w:rFonts w:ascii="Arial" w:hAnsi="Arial"/>
          <w:sz w:val="24"/>
          <w:szCs w:val="24"/>
        </w:rPr>
        <w:t xml:space="preserve"> Project Monitoring Group Meeting (PMG) </w:t>
      </w:r>
      <w:r>
        <w:rPr>
          <w:rFonts w:ascii="Arial" w:hAnsi="Arial"/>
          <w:color w:val="000000"/>
          <w:sz w:val="24"/>
          <w:szCs w:val="24"/>
        </w:rPr>
        <w:t>held on</w:t>
      </w:r>
      <w:r>
        <w:rPr>
          <w:rFonts w:ascii="Arial" w:hAnsi="Arial"/>
          <w:color w:val="FF0000"/>
          <w:sz w:val="24"/>
          <w:szCs w:val="24"/>
        </w:rPr>
        <w:t xml:space="preserve"> </w:t>
      </w:r>
      <w:r>
        <w:rPr>
          <w:rFonts w:ascii="Arial" w:hAnsi="Arial"/>
          <w:color w:val="000000"/>
          <w:sz w:val="24"/>
          <w:szCs w:val="24"/>
        </w:rPr>
        <w:t>June 14, 2021 at</w:t>
      </w:r>
      <w:r>
        <w:rPr>
          <w:rFonts w:ascii="Arial" w:hAnsi="Arial"/>
          <w:sz w:val="24"/>
          <w:szCs w:val="24"/>
        </w:rPr>
        <w:t xml:space="preserve"> ECO Secretariat circulated vide Note </w:t>
      </w:r>
      <w:proofErr w:type="spellStart"/>
      <w:r>
        <w:rPr>
          <w:rFonts w:ascii="Arial" w:hAnsi="Arial"/>
          <w:sz w:val="24"/>
          <w:szCs w:val="24"/>
        </w:rPr>
        <w:t>Verbale</w:t>
      </w:r>
      <w:proofErr w:type="spellEnd"/>
      <w:r>
        <w:rPr>
          <w:rFonts w:ascii="Arial" w:hAnsi="Arial"/>
          <w:sz w:val="24"/>
          <w:szCs w:val="24"/>
        </w:rPr>
        <w:t xml:space="preserve"> No. PMG/Report of the 15</w:t>
      </w:r>
      <w:r>
        <w:rPr>
          <w:rFonts w:ascii="Arial" w:hAnsi="Arial"/>
          <w:sz w:val="24"/>
          <w:szCs w:val="24"/>
          <w:vertAlign w:val="superscript"/>
        </w:rPr>
        <w:t>th</w:t>
      </w:r>
      <w:r>
        <w:rPr>
          <w:rFonts w:ascii="Arial" w:hAnsi="Arial"/>
          <w:sz w:val="24"/>
          <w:szCs w:val="24"/>
        </w:rPr>
        <w:t xml:space="preserve"> Meeting/2021/674 dated June 27, 2021. </w:t>
      </w:r>
    </w:p>
    <w:p w:rsidR="008E3706" w:rsidRDefault="008E3706" w:rsidP="008E3706">
      <w:pPr>
        <w:spacing w:after="0" w:line="240" w:lineRule="auto"/>
        <w:jc w:val="both"/>
        <w:rPr>
          <w:rFonts w:ascii="Arial" w:hAnsi="Arial"/>
          <w:sz w:val="24"/>
          <w:szCs w:val="24"/>
        </w:rPr>
      </w:pPr>
    </w:p>
    <w:p w:rsidR="008E3706" w:rsidRDefault="008E3706" w:rsidP="008E3706">
      <w:pPr>
        <w:spacing w:after="0" w:line="240" w:lineRule="auto"/>
        <w:jc w:val="both"/>
        <w:rPr>
          <w:rFonts w:ascii="Arial" w:hAnsi="Arial"/>
          <w:sz w:val="24"/>
          <w:szCs w:val="24"/>
        </w:rPr>
      </w:pPr>
      <w:r>
        <w:rPr>
          <w:rFonts w:ascii="Arial" w:hAnsi="Arial"/>
          <w:sz w:val="24"/>
          <w:szCs w:val="24"/>
        </w:rPr>
        <w:t xml:space="preserve">The status of the two (2) currently ongoing projects is reflected, as below:  </w:t>
      </w:r>
    </w:p>
    <w:p w:rsidR="008E3706" w:rsidRDefault="008E3706" w:rsidP="008E3706">
      <w:pPr>
        <w:jc w:val="both"/>
      </w:pPr>
    </w:p>
    <w:p w:rsidR="008E3706" w:rsidRDefault="008E3706" w:rsidP="008E3706">
      <w:pPr>
        <w:jc w:val="center"/>
        <w:rPr>
          <w:rFonts w:ascii="Arial" w:hAnsi="Arial"/>
          <w:b/>
          <w:bCs/>
          <w:sz w:val="26"/>
          <w:szCs w:val="26"/>
          <w:u w:val="single"/>
        </w:rPr>
      </w:pPr>
      <w:r>
        <w:rPr>
          <w:rFonts w:ascii="Arial" w:hAnsi="Arial"/>
          <w:b/>
          <w:bCs/>
          <w:sz w:val="26"/>
          <w:szCs w:val="26"/>
          <w:u w:val="single"/>
        </w:rPr>
        <w:t>ONGOING PROJECTS:</w:t>
      </w:r>
    </w:p>
    <w:p w:rsidR="008E3706" w:rsidRDefault="008E3706" w:rsidP="008E3706">
      <w:pPr>
        <w:jc w:val="both"/>
        <w:rPr>
          <w:rFonts w:ascii="Arial" w:hAnsi="Arial"/>
          <w:b/>
        </w:rPr>
      </w:pPr>
    </w:p>
    <w:p w:rsidR="008E3706" w:rsidRDefault="008E3706" w:rsidP="008E3706">
      <w:pPr>
        <w:ind w:left="-180"/>
        <w:jc w:val="both"/>
        <w:rPr>
          <w:rFonts w:ascii="Arial" w:hAnsi="Arial"/>
          <w:b/>
        </w:rPr>
      </w:pPr>
    </w:p>
    <w:tbl>
      <w:tblPr>
        <w:bidiVisual/>
        <w:tblW w:w="5297" w:type="pct"/>
        <w:tblInd w:w="-522" w:type="dxa"/>
        <w:tblBorders>
          <w:top w:val="single" w:sz="8" w:space="0" w:color="4F81BD"/>
          <w:left w:val="single" w:sz="8" w:space="0" w:color="4F81BD"/>
          <w:bottom w:val="single" w:sz="8" w:space="0" w:color="4F81BD"/>
          <w:right w:val="single" w:sz="8" w:space="0" w:color="4F81BD"/>
        </w:tblBorders>
        <w:tblLook w:val="01E0"/>
      </w:tblPr>
      <w:tblGrid>
        <w:gridCol w:w="5213"/>
        <w:gridCol w:w="4932"/>
      </w:tblGrid>
      <w:tr w:rsidR="008E3706" w:rsidTr="00563256">
        <w:tc>
          <w:tcPr>
            <w:tcW w:w="2569" w:type="pct"/>
            <w:tcBorders>
              <w:top w:val="single" w:sz="4" w:space="0" w:color="auto"/>
              <w:left w:val="single" w:sz="4" w:space="0" w:color="auto"/>
              <w:bottom w:val="single" w:sz="4" w:space="0" w:color="auto"/>
              <w:right w:val="single" w:sz="4" w:space="0" w:color="auto"/>
            </w:tcBorders>
            <w:shd w:val="clear" w:color="auto" w:fill="4F81BD"/>
            <w:hideMark/>
          </w:tcPr>
          <w:p w:rsidR="008E3706" w:rsidRDefault="008E3706" w:rsidP="00563256">
            <w:pPr>
              <w:spacing w:before="60" w:after="60"/>
              <w:rPr>
                <w:rFonts w:ascii="Arial" w:hAnsi="Arial"/>
                <w:b/>
                <w:bCs/>
                <w:color w:val="FFFFFF"/>
                <w:sz w:val="26"/>
                <w:szCs w:val="26"/>
                <w:lang w:bidi="fa-IR"/>
              </w:rPr>
            </w:pPr>
            <w:r>
              <w:rPr>
                <w:rFonts w:ascii="Arial" w:hAnsi="Arial"/>
                <w:b/>
                <w:bCs/>
                <w:color w:val="FFFFFF"/>
                <w:sz w:val="26"/>
                <w:szCs w:val="26"/>
                <w:lang w:bidi="fa-IR"/>
              </w:rPr>
              <w:t xml:space="preserve">Health </w:t>
            </w:r>
          </w:p>
        </w:tc>
        <w:tc>
          <w:tcPr>
            <w:tcW w:w="2431" w:type="pct"/>
            <w:tcBorders>
              <w:top w:val="single" w:sz="4" w:space="0" w:color="auto"/>
              <w:left w:val="single" w:sz="4" w:space="0" w:color="auto"/>
              <w:bottom w:val="single" w:sz="4" w:space="0" w:color="auto"/>
              <w:right w:val="single" w:sz="4" w:space="0" w:color="auto"/>
            </w:tcBorders>
            <w:shd w:val="clear" w:color="auto" w:fill="4F81BD"/>
            <w:hideMark/>
          </w:tcPr>
          <w:p w:rsidR="008E3706" w:rsidRDefault="008E3706" w:rsidP="00563256">
            <w:pPr>
              <w:spacing w:before="60" w:after="60"/>
              <w:jc w:val="both"/>
              <w:rPr>
                <w:rFonts w:ascii="Arial" w:hAnsi="Arial"/>
                <w:b/>
                <w:bCs/>
                <w:color w:val="FFFFFF"/>
                <w:sz w:val="26"/>
                <w:szCs w:val="26"/>
                <w:lang w:bidi="fa-IR"/>
              </w:rPr>
            </w:pPr>
            <w:r>
              <w:rPr>
                <w:rFonts w:ascii="Arial" w:hAnsi="Arial"/>
                <w:b/>
                <w:bCs/>
                <w:color w:val="FFFFFF"/>
                <w:sz w:val="26"/>
                <w:szCs w:val="26"/>
                <w:lang w:bidi="fa-IR"/>
              </w:rPr>
              <w:t>1. Project Category:</w:t>
            </w:r>
          </w:p>
        </w:tc>
      </w:tr>
      <w:tr w:rsidR="008E3706" w:rsidTr="00563256">
        <w:tc>
          <w:tcPr>
            <w:tcW w:w="2569" w:type="pct"/>
            <w:tcBorders>
              <w:top w:val="single" w:sz="4" w:space="0" w:color="auto"/>
              <w:left w:val="single" w:sz="4" w:space="0" w:color="auto"/>
              <w:bottom w:val="single" w:sz="4" w:space="0" w:color="auto"/>
              <w:right w:val="single" w:sz="4" w:space="0" w:color="auto"/>
            </w:tcBorders>
            <w:shd w:val="clear" w:color="auto" w:fill="4F81BD"/>
            <w:hideMark/>
          </w:tcPr>
          <w:p w:rsidR="008E3706" w:rsidRDefault="008E3706" w:rsidP="00563256">
            <w:pPr>
              <w:spacing w:before="60" w:after="60"/>
              <w:rPr>
                <w:rFonts w:ascii="Arial" w:hAnsi="Arial"/>
                <w:b/>
                <w:bCs/>
                <w:color w:val="FFFFFF"/>
                <w:sz w:val="26"/>
                <w:szCs w:val="26"/>
                <w:lang w:bidi="fa-IR"/>
              </w:rPr>
            </w:pPr>
            <w:r>
              <w:rPr>
                <w:rFonts w:ascii="Arial" w:hAnsi="Arial"/>
                <w:b/>
                <w:bCs/>
                <w:color w:val="FFFFFF"/>
                <w:sz w:val="26"/>
                <w:szCs w:val="26"/>
                <w:lang w:bidi="fa-IR"/>
              </w:rPr>
              <w:t>HRSD2/H/2020</w:t>
            </w:r>
          </w:p>
        </w:tc>
        <w:tc>
          <w:tcPr>
            <w:tcW w:w="2431" w:type="pct"/>
            <w:tcBorders>
              <w:top w:val="single" w:sz="4" w:space="0" w:color="auto"/>
              <w:left w:val="single" w:sz="4" w:space="0" w:color="auto"/>
              <w:bottom w:val="single" w:sz="4" w:space="0" w:color="auto"/>
              <w:right w:val="single" w:sz="4" w:space="0" w:color="auto"/>
            </w:tcBorders>
            <w:shd w:val="clear" w:color="auto" w:fill="4F81BD"/>
            <w:hideMark/>
          </w:tcPr>
          <w:p w:rsidR="008E3706" w:rsidRDefault="008E3706" w:rsidP="00563256">
            <w:pPr>
              <w:spacing w:before="60" w:after="60"/>
              <w:jc w:val="both"/>
              <w:rPr>
                <w:rFonts w:ascii="Arial" w:hAnsi="Arial"/>
                <w:b/>
                <w:bCs/>
                <w:color w:val="FFFFFF"/>
                <w:sz w:val="26"/>
                <w:szCs w:val="26"/>
                <w:lang w:bidi="fa-IR"/>
              </w:rPr>
            </w:pPr>
            <w:r>
              <w:rPr>
                <w:rFonts w:ascii="Arial" w:hAnsi="Arial"/>
                <w:b/>
                <w:bCs/>
                <w:color w:val="FFFFFF"/>
                <w:sz w:val="26"/>
                <w:szCs w:val="26"/>
                <w:lang w:bidi="fa-IR"/>
              </w:rPr>
              <w:t>2. Project Code:</w:t>
            </w:r>
          </w:p>
        </w:tc>
      </w:tr>
      <w:tr w:rsidR="008E3706" w:rsidTr="00563256">
        <w:tc>
          <w:tcPr>
            <w:tcW w:w="2569" w:type="pct"/>
            <w:tcBorders>
              <w:top w:val="single" w:sz="4" w:space="0" w:color="auto"/>
              <w:left w:val="single" w:sz="8" w:space="0" w:color="4F81BD"/>
              <w:bottom w:val="single" w:sz="8" w:space="0" w:color="4F81BD"/>
              <w:right w:val="single" w:sz="4" w:space="0" w:color="365F91"/>
            </w:tcBorders>
            <w:shd w:val="clear" w:color="auto" w:fill="4F81BD"/>
            <w:hideMark/>
          </w:tcPr>
          <w:p w:rsidR="008E3706" w:rsidRDefault="008E3706" w:rsidP="00563256">
            <w:pPr>
              <w:spacing w:before="60" w:after="60"/>
              <w:jc w:val="both"/>
              <w:rPr>
                <w:rFonts w:ascii="Arial" w:hAnsi="Arial"/>
                <w:b/>
                <w:sz w:val="26"/>
                <w:szCs w:val="26"/>
                <w:u w:val="single"/>
                <w:lang w:bidi="fa-IR"/>
              </w:rPr>
            </w:pPr>
            <w:r>
              <w:rPr>
                <w:rFonts w:ascii="Arial" w:hAnsi="Arial"/>
                <w:sz w:val="26"/>
                <w:szCs w:val="26"/>
                <w:u w:val="single"/>
              </w:rPr>
              <w:t>“</w:t>
            </w:r>
            <w:r>
              <w:rPr>
                <w:rFonts w:ascii="Arial" w:hAnsi="Arial"/>
                <w:b/>
                <w:bCs/>
                <w:sz w:val="26"/>
                <w:szCs w:val="26"/>
                <w:u w:val="single"/>
              </w:rPr>
              <w:t>Regional capacity on Intra-trade of pharmaceuticals (RCIP)</w:t>
            </w:r>
            <w:r>
              <w:rPr>
                <w:rFonts w:ascii="Arial" w:hAnsi="Arial"/>
                <w:sz w:val="26"/>
                <w:szCs w:val="26"/>
                <w:u w:val="single"/>
              </w:rPr>
              <w:t>”</w:t>
            </w:r>
          </w:p>
        </w:tc>
        <w:tc>
          <w:tcPr>
            <w:tcW w:w="2431" w:type="pct"/>
            <w:tcBorders>
              <w:top w:val="single" w:sz="4" w:space="0" w:color="auto"/>
              <w:left w:val="single" w:sz="4" w:space="0" w:color="365F91"/>
              <w:bottom w:val="single" w:sz="8" w:space="0" w:color="4F81BD"/>
              <w:right w:val="single" w:sz="8" w:space="0" w:color="4F81BD"/>
            </w:tcBorders>
            <w:shd w:val="clear" w:color="auto" w:fill="4F81BD"/>
            <w:hideMark/>
          </w:tcPr>
          <w:p w:rsidR="008E3706" w:rsidRDefault="008E3706" w:rsidP="00563256">
            <w:pPr>
              <w:spacing w:before="60" w:after="60"/>
              <w:jc w:val="both"/>
              <w:rPr>
                <w:rFonts w:ascii="Arial" w:hAnsi="Arial"/>
                <w:b/>
                <w:bCs/>
                <w:sz w:val="26"/>
                <w:szCs w:val="26"/>
                <w:lang w:bidi="fa-IR"/>
              </w:rPr>
            </w:pPr>
            <w:r>
              <w:rPr>
                <w:rFonts w:ascii="Arial" w:hAnsi="Arial"/>
                <w:b/>
                <w:bCs/>
                <w:sz w:val="26"/>
                <w:szCs w:val="26"/>
                <w:lang w:bidi="fa-IR"/>
              </w:rPr>
              <w:t>3. Project Title:</w:t>
            </w:r>
          </w:p>
        </w:tc>
      </w:tr>
      <w:tr w:rsidR="008E3706" w:rsidTr="00563256">
        <w:tc>
          <w:tcPr>
            <w:tcW w:w="2569" w:type="pct"/>
            <w:tcBorders>
              <w:top w:val="nil"/>
              <w:left w:val="single" w:sz="8" w:space="0" w:color="4F81BD"/>
              <w:bottom w:val="nil"/>
              <w:right w:val="single" w:sz="4" w:space="0" w:color="365F91"/>
            </w:tcBorders>
            <w:vAlign w:val="center"/>
            <w:hideMark/>
          </w:tcPr>
          <w:p w:rsidR="008E3706" w:rsidRDefault="008E3706" w:rsidP="00563256">
            <w:pPr>
              <w:spacing w:after="0" w:line="240" w:lineRule="auto"/>
              <w:jc w:val="both"/>
              <w:rPr>
                <w:rFonts w:ascii="Arial" w:hAnsi="Arial"/>
                <w:bCs/>
                <w:sz w:val="26"/>
                <w:szCs w:val="26"/>
                <w:rtl/>
              </w:rPr>
            </w:pPr>
            <w:r>
              <w:rPr>
                <w:rFonts w:ascii="Arial" w:hAnsi="Arial"/>
                <w:bCs/>
                <w:sz w:val="26"/>
                <w:szCs w:val="26"/>
              </w:rPr>
              <w:t>To do a holistic study on prerequisites and conditions in ECO region for promoting intra-trade of medicines between ECO Member States,</w:t>
            </w:r>
          </w:p>
          <w:p w:rsidR="008E3706" w:rsidRDefault="008E3706" w:rsidP="00563256">
            <w:pPr>
              <w:spacing w:after="0" w:line="240" w:lineRule="auto"/>
              <w:jc w:val="both"/>
              <w:rPr>
                <w:rFonts w:ascii="Arial" w:hAnsi="Arial"/>
                <w:bCs/>
                <w:sz w:val="26"/>
                <w:szCs w:val="26"/>
              </w:rPr>
            </w:pPr>
            <w:r>
              <w:rPr>
                <w:rFonts w:ascii="Arial" w:hAnsi="Arial"/>
                <w:bCs/>
                <w:sz w:val="26"/>
                <w:szCs w:val="26"/>
              </w:rPr>
              <w:t>To outline how trade and transport agreement between Member States could facilitate the medicine and Pharmaceutical trade in our region,</w:t>
            </w:r>
          </w:p>
          <w:p w:rsidR="008E3706" w:rsidRDefault="008E3706" w:rsidP="00563256">
            <w:pPr>
              <w:spacing w:after="0" w:line="240" w:lineRule="auto"/>
              <w:jc w:val="both"/>
              <w:rPr>
                <w:rFonts w:ascii="Arial" w:hAnsi="Arial"/>
                <w:b/>
                <w:bCs/>
                <w:sz w:val="26"/>
                <w:szCs w:val="26"/>
              </w:rPr>
            </w:pPr>
            <w:r>
              <w:rPr>
                <w:rFonts w:ascii="Arial" w:hAnsi="Arial"/>
                <w:bCs/>
                <w:sz w:val="26"/>
                <w:szCs w:val="26"/>
              </w:rPr>
              <w:t xml:space="preserve">To propose practical solution for "one application, one assessment, one market </w:t>
            </w:r>
            <w:r>
              <w:rPr>
                <w:rFonts w:ascii="Arial" w:hAnsi="Arial"/>
                <w:bCs/>
                <w:sz w:val="26"/>
                <w:szCs w:val="26"/>
              </w:rPr>
              <w:lastRenderedPageBreak/>
              <w:t xml:space="preserve">authorization" for the whole of ECO region. </w:t>
            </w:r>
          </w:p>
        </w:tc>
        <w:tc>
          <w:tcPr>
            <w:tcW w:w="2431" w:type="pct"/>
            <w:tcBorders>
              <w:top w:val="nil"/>
              <w:left w:val="single" w:sz="4" w:space="0" w:color="365F91"/>
              <w:bottom w:val="nil"/>
              <w:right w:val="single" w:sz="8" w:space="0" w:color="4F81BD"/>
            </w:tcBorders>
            <w:hideMark/>
          </w:tcPr>
          <w:p w:rsidR="008E3706" w:rsidRDefault="008E3706" w:rsidP="00563256">
            <w:pPr>
              <w:spacing w:before="60" w:after="60" w:line="240" w:lineRule="auto"/>
              <w:jc w:val="both"/>
              <w:rPr>
                <w:rFonts w:ascii="Arial" w:hAnsi="Arial"/>
                <w:b/>
                <w:bCs/>
                <w:sz w:val="26"/>
                <w:szCs w:val="26"/>
                <w:lang w:bidi="fa-IR"/>
              </w:rPr>
            </w:pPr>
            <w:r>
              <w:rPr>
                <w:rFonts w:ascii="Arial" w:hAnsi="Arial"/>
                <w:b/>
                <w:bCs/>
                <w:sz w:val="26"/>
                <w:szCs w:val="26"/>
                <w:lang w:bidi="fa-IR"/>
              </w:rPr>
              <w:lastRenderedPageBreak/>
              <w:t>4. Project Objective(s):</w:t>
            </w:r>
          </w:p>
        </w:tc>
      </w:tr>
      <w:tr w:rsidR="008E3706" w:rsidTr="00563256">
        <w:tc>
          <w:tcPr>
            <w:tcW w:w="2569" w:type="pct"/>
            <w:tcBorders>
              <w:top w:val="single" w:sz="8" w:space="0" w:color="4F81BD"/>
              <w:left w:val="single" w:sz="8" w:space="0" w:color="4F81BD"/>
              <w:bottom w:val="single" w:sz="8" w:space="0" w:color="4F81BD"/>
              <w:right w:val="single" w:sz="4" w:space="0" w:color="365F91"/>
            </w:tcBorders>
            <w:vAlign w:val="center"/>
            <w:hideMark/>
          </w:tcPr>
          <w:p w:rsidR="008E3706" w:rsidRDefault="008E3706" w:rsidP="00563256">
            <w:pPr>
              <w:spacing w:after="120" w:line="240" w:lineRule="auto"/>
              <w:jc w:val="both"/>
              <w:rPr>
                <w:rFonts w:ascii="Arial" w:hAnsi="Arial"/>
                <w:bCs/>
                <w:sz w:val="26"/>
                <w:szCs w:val="26"/>
              </w:rPr>
            </w:pPr>
            <w:r>
              <w:rPr>
                <w:rFonts w:ascii="Arial" w:hAnsi="Arial"/>
                <w:bCs/>
                <w:sz w:val="26"/>
                <w:szCs w:val="26"/>
              </w:rPr>
              <w:lastRenderedPageBreak/>
              <w:t>USD 60,000</w:t>
            </w:r>
          </w:p>
        </w:tc>
        <w:tc>
          <w:tcPr>
            <w:tcW w:w="2431" w:type="pct"/>
            <w:tcBorders>
              <w:top w:val="single" w:sz="8" w:space="0" w:color="4F81BD"/>
              <w:left w:val="single" w:sz="4" w:space="0" w:color="365F91"/>
              <w:bottom w:val="single" w:sz="8" w:space="0" w:color="4F81BD"/>
              <w:right w:val="single" w:sz="8" w:space="0" w:color="4F81BD"/>
            </w:tcBorders>
            <w:hideMark/>
          </w:tcPr>
          <w:p w:rsidR="008E3706" w:rsidRDefault="008E3706" w:rsidP="00563256">
            <w:pPr>
              <w:spacing w:before="60" w:after="60" w:line="240" w:lineRule="auto"/>
              <w:jc w:val="both"/>
              <w:rPr>
                <w:rFonts w:ascii="Arial" w:hAnsi="Arial"/>
                <w:b/>
                <w:bCs/>
                <w:sz w:val="26"/>
                <w:szCs w:val="26"/>
                <w:lang w:bidi="fa-IR"/>
              </w:rPr>
            </w:pPr>
            <w:r>
              <w:rPr>
                <w:rFonts w:ascii="Arial" w:hAnsi="Arial"/>
                <w:b/>
                <w:bCs/>
                <w:sz w:val="26"/>
                <w:szCs w:val="26"/>
                <w:lang w:bidi="fa-IR"/>
              </w:rPr>
              <w:t>5. Project Budget (US$):</w:t>
            </w:r>
          </w:p>
        </w:tc>
      </w:tr>
      <w:tr w:rsidR="008E3706" w:rsidTr="00563256">
        <w:tc>
          <w:tcPr>
            <w:tcW w:w="2569" w:type="pct"/>
            <w:tcBorders>
              <w:top w:val="nil"/>
              <w:left w:val="single" w:sz="8" w:space="0" w:color="4F81BD"/>
              <w:bottom w:val="nil"/>
              <w:right w:val="single" w:sz="4" w:space="0" w:color="365F91"/>
            </w:tcBorders>
            <w:vAlign w:val="center"/>
            <w:hideMark/>
          </w:tcPr>
          <w:p w:rsidR="008E3706" w:rsidRDefault="008E3706" w:rsidP="00563256">
            <w:pPr>
              <w:spacing w:after="0" w:line="240" w:lineRule="auto"/>
              <w:jc w:val="both"/>
              <w:rPr>
                <w:rFonts w:ascii="Arial" w:hAnsi="Arial"/>
                <w:bCs/>
                <w:sz w:val="26"/>
                <w:szCs w:val="26"/>
              </w:rPr>
            </w:pPr>
            <w:r>
              <w:rPr>
                <w:rFonts w:ascii="Arial" w:hAnsi="Arial"/>
                <w:bCs/>
                <w:sz w:val="26"/>
                <w:szCs w:val="26"/>
              </w:rPr>
              <w:t>At least 20% from ECO Budget (in-kind), the rest (in-cash) from the partner/s,</w:t>
            </w:r>
          </w:p>
        </w:tc>
        <w:tc>
          <w:tcPr>
            <w:tcW w:w="2431" w:type="pct"/>
            <w:tcBorders>
              <w:top w:val="nil"/>
              <w:left w:val="single" w:sz="4" w:space="0" w:color="365F91"/>
              <w:bottom w:val="nil"/>
              <w:right w:val="single" w:sz="8" w:space="0" w:color="4F81BD"/>
            </w:tcBorders>
            <w:hideMark/>
          </w:tcPr>
          <w:p w:rsidR="008E3706" w:rsidRDefault="008E3706" w:rsidP="00563256">
            <w:pPr>
              <w:spacing w:before="60" w:after="0" w:line="240" w:lineRule="auto"/>
              <w:jc w:val="both"/>
              <w:rPr>
                <w:rFonts w:ascii="Arial" w:hAnsi="Arial"/>
                <w:b/>
                <w:bCs/>
                <w:sz w:val="26"/>
                <w:szCs w:val="26"/>
                <w:lang w:bidi="fa-IR"/>
              </w:rPr>
            </w:pPr>
            <w:r>
              <w:rPr>
                <w:rFonts w:ascii="Arial" w:hAnsi="Arial"/>
                <w:b/>
                <w:bCs/>
                <w:sz w:val="26"/>
                <w:szCs w:val="26"/>
                <w:lang w:bidi="fa-IR"/>
              </w:rPr>
              <w:t>6. Project Funding Source:</w:t>
            </w:r>
          </w:p>
        </w:tc>
      </w:tr>
      <w:tr w:rsidR="008E3706" w:rsidTr="00563256">
        <w:tc>
          <w:tcPr>
            <w:tcW w:w="2569" w:type="pct"/>
            <w:tcBorders>
              <w:top w:val="single" w:sz="8" w:space="0" w:color="4F81BD"/>
              <w:left w:val="single" w:sz="8" w:space="0" w:color="4F81BD"/>
              <w:bottom w:val="single" w:sz="8" w:space="0" w:color="4F81BD"/>
              <w:right w:val="single" w:sz="4" w:space="0" w:color="365F91"/>
            </w:tcBorders>
            <w:vAlign w:val="center"/>
            <w:hideMark/>
          </w:tcPr>
          <w:p w:rsidR="008E3706" w:rsidRDefault="008E3706" w:rsidP="00563256">
            <w:pPr>
              <w:spacing w:after="0" w:line="240" w:lineRule="auto"/>
              <w:jc w:val="both"/>
              <w:rPr>
                <w:rFonts w:ascii="Arial" w:hAnsi="Arial"/>
                <w:bCs/>
                <w:sz w:val="26"/>
                <w:szCs w:val="26"/>
              </w:rPr>
            </w:pPr>
            <w:r>
              <w:rPr>
                <w:rFonts w:ascii="Arial" w:hAnsi="Arial"/>
                <w:bCs/>
                <w:sz w:val="26"/>
                <w:szCs w:val="26"/>
              </w:rPr>
              <w:t>ECO Secretariat</w:t>
            </w:r>
          </w:p>
        </w:tc>
        <w:tc>
          <w:tcPr>
            <w:tcW w:w="2431" w:type="pct"/>
            <w:tcBorders>
              <w:top w:val="single" w:sz="8" w:space="0" w:color="4F81BD"/>
              <w:left w:val="single" w:sz="4" w:space="0" w:color="365F91"/>
              <w:bottom w:val="single" w:sz="8" w:space="0" w:color="4F81BD"/>
              <w:right w:val="single" w:sz="8" w:space="0" w:color="4F81BD"/>
            </w:tcBorders>
            <w:hideMark/>
          </w:tcPr>
          <w:p w:rsidR="008E3706" w:rsidRDefault="008E3706" w:rsidP="00563256">
            <w:pPr>
              <w:spacing w:before="60" w:after="0" w:line="240" w:lineRule="auto"/>
              <w:jc w:val="both"/>
              <w:rPr>
                <w:rFonts w:ascii="Arial" w:hAnsi="Arial"/>
                <w:b/>
                <w:bCs/>
                <w:sz w:val="26"/>
                <w:szCs w:val="26"/>
                <w:lang w:bidi="fa-IR"/>
              </w:rPr>
            </w:pPr>
            <w:r>
              <w:rPr>
                <w:rFonts w:ascii="Arial" w:hAnsi="Arial"/>
                <w:b/>
                <w:bCs/>
                <w:sz w:val="26"/>
                <w:szCs w:val="26"/>
                <w:lang w:bidi="fa-IR"/>
              </w:rPr>
              <w:t>7. Coordinating Country/Organization:</w:t>
            </w:r>
          </w:p>
        </w:tc>
      </w:tr>
      <w:tr w:rsidR="008E3706" w:rsidTr="00563256">
        <w:tc>
          <w:tcPr>
            <w:tcW w:w="2569" w:type="pct"/>
            <w:tcBorders>
              <w:top w:val="nil"/>
              <w:left w:val="single" w:sz="8" w:space="0" w:color="4F81BD"/>
              <w:bottom w:val="nil"/>
              <w:right w:val="single" w:sz="4" w:space="0" w:color="365F91"/>
            </w:tcBorders>
            <w:vAlign w:val="center"/>
            <w:hideMark/>
          </w:tcPr>
          <w:p w:rsidR="008E3706" w:rsidRDefault="008E3706" w:rsidP="00563256">
            <w:pPr>
              <w:spacing w:after="0" w:line="240" w:lineRule="auto"/>
              <w:jc w:val="both"/>
              <w:rPr>
                <w:rFonts w:ascii="Arial" w:hAnsi="Arial"/>
                <w:bCs/>
                <w:sz w:val="26"/>
                <w:szCs w:val="26"/>
              </w:rPr>
            </w:pPr>
            <w:proofErr w:type="spellStart"/>
            <w:r>
              <w:rPr>
                <w:rFonts w:ascii="Arial" w:hAnsi="Arial"/>
                <w:bCs/>
                <w:sz w:val="26"/>
                <w:szCs w:val="26"/>
              </w:rPr>
              <w:t>IsDB</w:t>
            </w:r>
            <w:proofErr w:type="spellEnd"/>
            <w:r>
              <w:rPr>
                <w:rFonts w:ascii="Arial" w:hAnsi="Arial"/>
                <w:bCs/>
                <w:sz w:val="26"/>
                <w:szCs w:val="26"/>
              </w:rPr>
              <w:t xml:space="preserve"> and WHO</w:t>
            </w:r>
          </w:p>
        </w:tc>
        <w:tc>
          <w:tcPr>
            <w:tcW w:w="2431" w:type="pct"/>
            <w:tcBorders>
              <w:top w:val="nil"/>
              <w:left w:val="single" w:sz="4" w:space="0" w:color="365F91"/>
              <w:bottom w:val="nil"/>
              <w:right w:val="single" w:sz="8" w:space="0" w:color="4F81BD"/>
            </w:tcBorders>
            <w:hideMark/>
          </w:tcPr>
          <w:p w:rsidR="008E3706" w:rsidRDefault="008E3706" w:rsidP="00563256">
            <w:pPr>
              <w:spacing w:before="60" w:after="0" w:line="240" w:lineRule="auto"/>
              <w:jc w:val="both"/>
              <w:rPr>
                <w:rFonts w:ascii="Arial" w:hAnsi="Arial"/>
                <w:b/>
                <w:bCs/>
                <w:sz w:val="26"/>
                <w:szCs w:val="26"/>
                <w:lang w:bidi="fa-IR"/>
              </w:rPr>
            </w:pPr>
            <w:r>
              <w:rPr>
                <w:rFonts w:ascii="Arial" w:hAnsi="Arial"/>
                <w:b/>
                <w:bCs/>
                <w:sz w:val="26"/>
                <w:szCs w:val="26"/>
                <w:lang w:bidi="fa-IR"/>
              </w:rPr>
              <w:t>8. International/Regional Partner:</w:t>
            </w:r>
          </w:p>
        </w:tc>
      </w:tr>
      <w:tr w:rsidR="008E3706" w:rsidTr="00563256">
        <w:tc>
          <w:tcPr>
            <w:tcW w:w="2569" w:type="pct"/>
            <w:tcBorders>
              <w:top w:val="single" w:sz="8" w:space="0" w:color="4F81BD"/>
              <w:left w:val="single" w:sz="8" w:space="0" w:color="4F81BD"/>
              <w:bottom w:val="single" w:sz="8" w:space="0" w:color="4F81BD"/>
              <w:right w:val="single" w:sz="4" w:space="0" w:color="365F91"/>
            </w:tcBorders>
            <w:vAlign w:val="center"/>
            <w:hideMark/>
          </w:tcPr>
          <w:p w:rsidR="008E3706" w:rsidRDefault="008E3706" w:rsidP="00563256">
            <w:pPr>
              <w:spacing w:after="0" w:line="240" w:lineRule="auto"/>
              <w:jc w:val="both"/>
              <w:rPr>
                <w:rFonts w:ascii="Arial" w:hAnsi="Arial"/>
                <w:bCs/>
                <w:sz w:val="26"/>
                <w:szCs w:val="26"/>
              </w:rPr>
            </w:pPr>
            <w:r>
              <w:rPr>
                <w:rFonts w:ascii="Arial" w:hAnsi="Arial"/>
                <w:bCs/>
                <w:sz w:val="26"/>
                <w:szCs w:val="26"/>
              </w:rPr>
              <w:t>2 year</w:t>
            </w:r>
          </w:p>
        </w:tc>
        <w:tc>
          <w:tcPr>
            <w:tcW w:w="2431" w:type="pct"/>
            <w:tcBorders>
              <w:top w:val="single" w:sz="8" w:space="0" w:color="4F81BD"/>
              <w:left w:val="single" w:sz="4" w:space="0" w:color="365F91"/>
              <w:bottom w:val="single" w:sz="8" w:space="0" w:color="4F81BD"/>
              <w:right w:val="single" w:sz="8" w:space="0" w:color="4F81BD"/>
            </w:tcBorders>
            <w:hideMark/>
          </w:tcPr>
          <w:p w:rsidR="008E3706" w:rsidRDefault="008E3706" w:rsidP="00563256">
            <w:pPr>
              <w:spacing w:before="60" w:after="0" w:line="240" w:lineRule="auto"/>
              <w:jc w:val="both"/>
              <w:rPr>
                <w:rFonts w:ascii="Arial" w:hAnsi="Arial"/>
                <w:b/>
                <w:bCs/>
                <w:sz w:val="26"/>
                <w:szCs w:val="26"/>
                <w:lang w:bidi="fa-IR"/>
              </w:rPr>
            </w:pPr>
            <w:r>
              <w:rPr>
                <w:rFonts w:ascii="Arial" w:hAnsi="Arial"/>
                <w:b/>
                <w:bCs/>
                <w:sz w:val="26"/>
                <w:szCs w:val="26"/>
                <w:lang w:bidi="fa-IR"/>
              </w:rPr>
              <w:t>9. Duration of Project (Months):</w:t>
            </w:r>
          </w:p>
        </w:tc>
      </w:tr>
      <w:tr w:rsidR="008E3706" w:rsidTr="00563256">
        <w:tc>
          <w:tcPr>
            <w:tcW w:w="2569" w:type="pct"/>
            <w:tcBorders>
              <w:top w:val="nil"/>
              <w:left w:val="single" w:sz="8" w:space="0" w:color="4F81BD"/>
              <w:bottom w:val="nil"/>
              <w:right w:val="single" w:sz="4" w:space="0" w:color="365F91"/>
            </w:tcBorders>
            <w:vAlign w:val="center"/>
            <w:hideMark/>
          </w:tcPr>
          <w:p w:rsidR="008E3706" w:rsidRDefault="008E3706" w:rsidP="00563256">
            <w:pPr>
              <w:spacing w:after="0" w:line="240" w:lineRule="auto"/>
              <w:jc w:val="both"/>
              <w:rPr>
                <w:rFonts w:ascii="Arial" w:hAnsi="Arial"/>
                <w:bCs/>
                <w:sz w:val="26"/>
                <w:szCs w:val="26"/>
              </w:rPr>
            </w:pPr>
            <w:r>
              <w:rPr>
                <w:rFonts w:ascii="Arial" w:hAnsi="Arial"/>
                <w:bCs/>
                <w:sz w:val="26"/>
                <w:szCs w:val="26"/>
              </w:rPr>
              <w:t>2020</w:t>
            </w:r>
          </w:p>
        </w:tc>
        <w:tc>
          <w:tcPr>
            <w:tcW w:w="2431" w:type="pct"/>
            <w:tcBorders>
              <w:top w:val="nil"/>
              <w:left w:val="single" w:sz="4" w:space="0" w:color="365F91"/>
              <w:bottom w:val="nil"/>
              <w:right w:val="single" w:sz="8" w:space="0" w:color="4F81BD"/>
            </w:tcBorders>
            <w:hideMark/>
          </w:tcPr>
          <w:p w:rsidR="008E3706" w:rsidRDefault="008E3706" w:rsidP="00563256">
            <w:pPr>
              <w:spacing w:before="60" w:after="0" w:line="240" w:lineRule="auto"/>
              <w:jc w:val="both"/>
              <w:rPr>
                <w:rFonts w:ascii="Arial" w:hAnsi="Arial"/>
                <w:b/>
                <w:bCs/>
                <w:sz w:val="26"/>
                <w:szCs w:val="26"/>
                <w:lang w:bidi="fa-IR"/>
              </w:rPr>
            </w:pPr>
            <w:r>
              <w:rPr>
                <w:rFonts w:ascii="Arial" w:hAnsi="Arial"/>
                <w:b/>
                <w:bCs/>
                <w:sz w:val="26"/>
                <w:szCs w:val="26"/>
                <w:lang w:bidi="fa-IR"/>
              </w:rPr>
              <w:t>10. Project Starting Time (M/Y):</w:t>
            </w:r>
          </w:p>
        </w:tc>
      </w:tr>
      <w:tr w:rsidR="008E3706" w:rsidTr="00563256">
        <w:tc>
          <w:tcPr>
            <w:tcW w:w="2569" w:type="pct"/>
            <w:tcBorders>
              <w:top w:val="single" w:sz="8" w:space="0" w:color="4F81BD"/>
              <w:left w:val="single" w:sz="8" w:space="0" w:color="4F81BD"/>
              <w:bottom w:val="single" w:sz="8" w:space="0" w:color="4F81BD"/>
              <w:right w:val="single" w:sz="4" w:space="0" w:color="365F91"/>
            </w:tcBorders>
            <w:vAlign w:val="center"/>
            <w:hideMark/>
          </w:tcPr>
          <w:p w:rsidR="008E3706" w:rsidRDefault="008E3706" w:rsidP="00563256">
            <w:pPr>
              <w:spacing w:after="0" w:line="240" w:lineRule="auto"/>
              <w:jc w:val="both"/>
              <w:rPr>
                <w:rFonts w:ascii="Arial" w:hAnsi="Arial"/>
                <w:bCs/>
                <w:sz w:val="26"/>
                <w:szCs w:val="26"/>
              </w:rPr>
            </w:pPr>
            <w:r>
              <w:rPr>
                <w:rFonts w:ascii="Arial" w:hAnsi="Arial"/>
                <w:bCs/>
                <w:sz w:val="26"/>
                <w:szCs w:val="26"/>
              </w:rPr>
              <w:t>Quarterly</w:t>
            </w:r>
          </w:p>
        </w:tc>
        <w:tc>
          <w:tcPr>
            <w:tcW w:w="2431" w:type="pct"/>
            <w:tcBorders>
              <w:top w:val="single" w:sz="8" w:space="0" w:color="4F81BD"/>
              <w:left w:val="single" w:sz="4" w:space="0" w:color="365F91"/>
              <w:bottom w:val="single" w:sz="8" w:space="0" w:color="4F81BD"/>
              <w:right w:val="single" w:sz="8" w:space="0" w:color="4F81BD"/>
            </w:tcBorders>
            <w:hideMark/>
          </w:tcPr>
          <w:p w:rsidR="008E3706" w:rsidRDefault="008E3706" w:rsidP="00563256">
            <w:pPr>
              <w:spacing w:before="60" w:after="0" w:line="240" w:lineRule="auto"/>
              <w:jc w:val="both"/>
              <w:rPr>
                <w:rFonts w:ascii="Arial" w:hAnsi="Arial"/>
                <w:b/>
                <w:bCs/>
                <w:sz w:val="26"/>
                <w:szCs w:val="26"/>
                <w:lang w:bidi="fa-IR"/>
              </w:rPr>
            </w:pPr>
            <w:r>
              <w:rPr>
                <w:rFonts w:ascii="Arial" w:hAnsi="Arial"/>
                <w:b/>
                <w:bCs/>
                <w:sz w:val="26"/>
                <w:szCs w:val="26"/>
                <w:lang w:bidi="fa-IR"/>
              </w:rPr>
              <w:t>11. Project Progress Ratio (%):</w:t>
            </w:r>
          </w:p>
        </w:tc>
      </w:tr>
      <w:tr w:rsidR="008E3706" w:rsidTr="00563256">
        <w:tc>
          <w:tcPr>
            <w:tcW w:w="2569" w:type="pct"/>
            <w:tcBorders>
              <w:top w:val="single" w:sz="8" w:space="0" w:color="4F81BD"/>
              <w:left w:val="single" w:sz="8" w:space="0" w:color="4F81BD"/>
              <w:bottom w:val="single" w:sz="4" w:space="0" w:color="4F81BD"/>
              <w:right w:val="single" w:sz="4" w:space="0" w:color="365F91"/>
            </w:tcBorders>
            <w:vAlign w:val="center"/>
            <w:hideMark/>
          </w:tcPr>
          <w:p w:rsidR="008E3706" w:rsidRDefault="008E3706" w:rsidP="00563256">
            <w:pPr>
              <w:spacing w:after="0" w:line="240" w:lineRule="auto"/>
              <w:jc w:val="both"/>
              <w:rPr>
                <w:rFonts w:ascii="Arial" w:hAnsi="Arial"/>
                <w:bCs/>
                <w:sz w:val="26"/>
                <w:szCs w:val="26"/>
              </w:rPr>
            </w:pPr>
            <w:r>
              <w:rPr>
                <w:rFonts w:ascii="Arial" w:hAnsi="Arial"/>
                <w:bCs/>
                <w:sz w:val="26"/>
                <w:szCs w:val="26"/>
              </w:rPr>
              <w:t>2 year</w:t>
            </w:r>
          </w:p>
        </w:tc>
        <w:tc>
          <w:tcPr>
            <w:tcW w:w="2431" w:type="pct"/>
            <w:tcBorders>
              <w:top w:val="single" w:sz="8" w:space="0" w:color="4F81BD"/>
              <w:left w:val="single" w:sz="4" w:space="0" w:color="365F91"/>
              <w:bottom w:val="single" w:sz="4" w:space="0" w:color="4F81BD"/>
              <w:right w:val="single" w:sz="8" w:space="0" w:color="4F81BD"/>
            </w:tcBorders>
            <w:hideMark/>
          </w:tcPr>
          <w:p w:rsidR="008E3706" w:rsidRDefault="008E3706" w:rsidP="00563256">
            <w:pPr>
              <w:spacing w:before="60" w:after="0" w:line="240" w:lineRule="auto"/>
              <w:jc w:val="both"/>
              <w:rPr>
                <w:rFonts w:ascii="Arial" w:hAnsi="Arial"/>
                <w:b/>
                <w:bCs/>
                <w:sz w:val="26"/>
                <w:szCs w:val="26"/>
                <w:lang w:bidi="fa-IR"/>
              </w:rPr>
            </w:pPr>
            <w:r>
              <w:rPr>
                <w:rFonts w:ascii="Arial" w:hAnsi="Arial"/>
                <w:b/>
                <w:bCs/>
                <w:sz w:val="26"/>
                <w:szCs w:val="26"/>
                <w:lang w:bidi="fa-IR"/>
              </w:rPr>
              <w:t>12. Expected Project Completion Time (M/Y):</w:t>
            </w:r>
          </w:p>
        </w:tc>
      </w:tr>
      <w:tr w:rsidR="008E3706" w:rsidTr="00563256">
        <w:trPr>
          <w:trHeight w:val="558"/>
        </w:trPr>
        <w:tc>
          <w:tcPr>
            <w:tcW w:w="5000" w:type="pct"/>
            <w:gridSpan w:val="2"/>
            <w:tcBorders>
              <w:top w:val="single" w:sz="4" w:space="0" w:color="4F81BD"/>
              <w:left w:val="single" w:sz="8" w:space="0" w:color="4F81BD"/>
              <w:bottom w:val="nil"/>
              <w:right w:val="single" w:sz="8" w:space="0" w:color="4F81BD"/>
            </w:tcBorders>
            <w:hideMark/>
          </w:tcPr>
          <w:p w:rsidR="008E3706" w:rsidRDefault="008E3706" w:rsidP="00563256">
            <w:pPr>
              <w:spacing w:before="120" w:line="240" w:lineRule="auto"/>
              <w:jc w:val="both"/>
              <w:rPr>
                <w:rFonts w:ascii="Arial" w:hAnsi="Arial"/>
                <w:sz w:val="26"/>
                <w:szCs w:val="26"/>
                <w:rtl/>
                <w:lang w:bidi="fa-IR"/>
              </w:rPr>
            </w:pPr>
            <w:r>
              <w:rPr>
                <w:rFonts w:ascii="Arial" w:hAnsi="Arial"/>
                <w:b/>
                <w:sz w:val="26"/>
                <w:szCs w:val="26"/>
                <w:lang w:bidi="fa-IR"/>
              </w:rPr>
              <w:t xml:space="preserve">13. </w:t>
            </w:r>
            <w:r>
              <w:rPr>
                <w:rFonts w:ascii="Arial" w:hAnsi="Arial"/>
                <w:b/>
                <w:sz w:val="26"/>
                <w:szCs w:val="26"/>
                <w:u w:val="single"/>
                <w:lang w:bidi="fa-IR"/>
              </w:rPr>
              <w:t>Background</w:t>
            </w:r>
            <w:r>
              <w:rPr>
                <w:rFonts w:ascii="Arial" w:hAnsi="Arial"/>
                <w:sz w:val="26"/>
                <w:szCs w:val="26"/>
                <w:u w:val="single"/>
                <w:lang w:bidi="fa-IR"/>
              </w:rPr>
              <w:t>:</w:t>
            </w:r>
          </w:p>
          <w:p w:rsidR="008E3706" w:rsidRDefault="008E3706" w:rsidP="00563256">
            <w:pPr>
              <w:spacing w:before="120" w:line="240" w:lineRule="auto"/>
              <w:jc w:val="both"/>
              <w:rPr>
                <w:rFonts w:ascii="Arial" w:hAnsi="Arial"/>
                <w:sz w:val="26"/>
                <w:szCs w:val="26"/>
                <w:lang w:val="en-GB"/>
              </w:rPr>
            </w:pPr>
            <w:r>
              <w:rPr>
                <w:rFonts w:ascii="Arial" w:hAnsi="Arial"/>
                <w:sz w:val="26"/>
                <w:szCs w:val="26"/>
                <w:lang w:val="en-GB"/>
              </w:rPr>
              <w:t xml:space="preserve">Given the ECO commitment to SDGs and as </w:t>
            </w:r>
            <w:r>
              <w:rPr>
                <w:rFonts w:ascii="Arial" w:hAnsi="Arial"/>
                <w:sz w:val="26"/>
                <w:szCs w:val="26"/>
              </w:rPr>
              <w:t xml:space="preserve">specified in the founding documents of the Organization, uplifting the standards of living, quality of life, economic welfare and wellbeing of people of the region constitute the very aim of regional cooperation in this part of the world. </w:t>
            </w:r>
          </w:p>
          <w:p w:rsidR="008E3706" w:rsidRDefault="008E3706" w:rsidP="00563256">
            <w:pPr>
              <w:spacing w:before="120" w:line="240" w:lineRule="auto"/>
              <w:jc w:val="both"/>
              <w:rPr>
                <w:rFonts w:ascii="Arial" w:hAnsi="Arial"/>
                <w:sz w:val="26"/>
                <w:szCs w:val="26"/>
                <w:shd w:val="clear" w:color="auto" w:fill="FFFFFF"/>
              </w:rPr>
            </w:pPr>
            <w:r>
              <w:rPr>
                <w:rFonts w:ascii="Arial" w:hAnsi="Arial"/>
                <w:sz w:val="26"/>
                <w:szCs w:val="26"/>
                <w:lang w:val="en-GB"/>
              </w:rPr>
              <w:t>Promotion of regional health and pharmaceutical cooperation can be considered as one of the key objectives of ECO for which the Member States attach high importance. However, pharmaceutical cooperation can't be sustainable unless the member states move toward establishment of ECO Medicines Agency to contribute to facilitation of regional medicine regulatory.</w:t>
            </w:r>
            <w:r>
              <w:rPr>
                <w:rFonts w:ascii="Arial" w:hAnsi="Arial"/>
                <w:sz w:val="26"/>
                <w:szCs w:val="26"/>
                <w:shd w:val="clear" w:color="auto" w:fill="FFFFFF"/>
              </w:rPr>
              <w:t xml:space="preserve"> </w:t>
            </w:r>
          </w:p>
          <w:p w:rsidR="008E3706" w:rsidRPr="00A01C6C" w:rsidRDefault="008E3706" w:rsidP="00563256">
            <w:pPr>
              <w:spacing w:before="120" w:line="240" w:lineRule="auto"/>
              <w:jc w:val="both"/>
              <w:rPr>
                <w:rFonts w:ascii="Arial" w:hAnsi="Arial"/>
                <w:sz w:val="26"/>
                <w:szCs w:val="26"/>
                <w:shd w:val="clear" w:color="auto" w:fill="FFFFFF"/>
              </w:rPr>
            </w:pPr>
            <w:r>
              <w:rPr>
                <w:rFonts w:ascii="Arial" w:hAnsi="Arial"/>
                <w:sz w:val="26"/>
                <w:szCs w:val="26"/>
                <w:shd w:val="clear" w:color="auto" w:fill="FFFFFF"/>
              </w:rPr>
              <w:t>Further to decision of 24</w:t>
            </w:r>
            <w:r w:rsidRPr="00D8262E">
              <w:rPr>
                <w:rFonts w:ascii="Arial" w:hAnsi="Arial"/>
                <w:sz w:val="26"/>
                <w:szCs w:val="26"/>
                <w:shd w:val="clear" w:color="auto" w:fill="FFFFFF"/>
                <w:vertAlign w:val="superscript"/>
              </w:rPr>
              <w:t>th</w:t>
            </w:r>
            <w:r>
              <w:rPr>
                <w:rFonts w:ascii="Arial" w:hAnsi="Arial"/>
                <w:sz w:val="26"/>
                <w:szCs w:val="26"/>
                <w:shd w:val="clear" w:color="auto" w:fill="FFFFFF"/>
              </w:rPr>
              <w:t xml:space="preserve"> COM reflected in its report (paragraph 28) following small sized project </w:t>
            </w:r>
            <w:r>
              <w:rPr>
                <w:rFonts w:ascii="Arial" w:hAnsi="Arial"/>
                <w:sz w:val="24"/>
                <w:szCs w:val="24"/>
              </w:rPr>
              <w:t>phase one (1</w:t>
            </w:r>
            <w:proofErr w:type="gramStart"/>
            <w:r>
              <w:rPr>
                <w:rFonts w:ascii="Arial" w:hAnsi="Arial"/>
                <w:sz w:val="24"/>
                <w:szCs w:val="24"/>
              </w:rPr>
              <w:t>)  about</w:t>
            </w:r>
            <w:proofErr w:type="gramEnd"/>
            <w:r>
              <w:rPr>
                <w:rFonts w:ascii="Arial" w:hAnsi="Arial"/>
                <w:sz w:val="24"/>
                <w:szCs w:val="24"/>
              </w:rPr>
              <w:t xml:space="preserve"> </w:t>
            </w:r>
            <w:r w:rsidRPr="008F474C">
              <w:rPr>
                <w:rFonts w:ascii="Arial" w:hAnsi="Arial"/>
                <w:b/>
                <w:bCs/>
                <w:sz w:val="24"/>
                <w:szCs w:val="24"/>
                <w:u w:val="single"/>
              </w:rPr>
              <w:t xml:space="preserve">feasibility </w:t>
            </w:r>
            <w:r w:rsidRPr="008F474C">
              <w:rPr>
                <w:rFonts w:ascii="Arial" w:hAnsi="Arial"/>
                <w:b/>
                <w:bCs/>
                <w:sz w:val="26"/>
                <w:szCs w:val="26"/>
                <w:u w:val="single"/>
              </w:rPr>
              <w:t>Regional</w:t>
            </w:r>
            <w:r>
              <w:rPr>
                <w:rFonts w:ascii="Arial" w:hAnsi="Arial"/>
                <w:b/>
                <w:bCs/>
                <w:sz w:val="26"/>
                <w:szCs w:val="26"/>
                <w:u w:val="single"/>
              </w:rPr>
              <w:t xml:space="preserve"> capacity on Intra-trade of pharmaceuticals (RCIP)</w:t>
            </w:r>
            <w:r>
              <w:rPr>
                <w:rFonts w:ascii="Arial" w:hAnsi="Arial"/>
                <w:sz w:val="26"/>
                <w:szCs w:val="26"/>
                <w:u w:val="single"/>
              </w:rPr>
              <w:t>”</w:t>
            </w:r>
            <w:r w:rsidRPr="003061E4">
              <w:rPr>
                <w:rFonts w:ascii="Arial" w:hAnsi="Arial"/>
                <w:sz w:val="24"/>
                <w:szCs w:val="24"/>
              </w:rPr>
              <w:t xml:space="preserve"> </w:t>
            </w:r>
            <w:r>
              <w:rPr>
                <w:rFonts w:ascii="Arial" w:hAnsi="Arial"/>
                <w:sz w:val="24"/>
                <w:szCs w:val="24"/>
              </w:rPr>
              <w:t>(</w:t>
            </w:r>
            <w:r w:rsidRPr="003061E4">
              <w:rPr>
                <w:rFonts w:ascii="Arial" w:hAnsi="Arial"/>
                <w:sz w:val="24"/>
                <w:szCs w:val="24"/>
              </w:rPr>
              <w:t>costs US$ 8,500</w:t>
            </w:r>
            <w:r>
              <w:rPr>
                <w:rFonts w:ascii="Arial" w:hAnsi="Arial"/>
                <w:sz w:val="24"/>
                <w:szCs w:val="24"/>
              </w:rPr>
              <w:t>)</w:t>
            </w:r>
            <w:r>
              <w:rPr>
                <w:rFonts w:ascii="Arial" w:hAnsi="Arial"/>
                <w:sz w:val="26"/>
                <w:szCs w:val="26"/>
                <w:u w:val="single"/>
              </w:rPr>
              <w:t xml:space="preserve"> </w:t>
            </w:r>
            <w:r w:rsidRPr="00B55003">
              <w:rPr>
                <w:rFonts w:ascii="Arial" w:hAnsi="Arial"/>
                <w:sz w:val="26"/>
                <w:szCs w:val="26"/>
              </w:rPr>
              <w:t xml:space="preserve">has been </w:t>
            </w:r>
            <w:r w:rsidRPr="003061E4">
              <w:rPr>
                <w:rFonts w:ascii="Arial" w:hAnsi="Arial"/>
                <w:sz w:val="24"/>
                <w:szCs w:val="24"/>
              </w:rPr>
              <w:t>completed on March 3, 2021</w:t>
            </w:r>
            <w:r>
              <w:rPr>
                <w:rFonts w:ascii="Arial" w:hAnsi="Arial"/>
                <w:sz w:val="24"/>
                <w:szCs w:val="24"/>
              </w:rPr>
              <w:t xml:space="preserve"> . </w:t>
            </w:r>
          </w:p>
        </w:tc>
      </w:tr>
      <w:tr w:rsidR="008E3706" w:rsidTr="00563256">
        <w:tc>
          <w:tcPr>
            <w:tcW w:w="5000" w:type="pct"/>
            <w:gridSpan w:val="2"/>
            <w:tcBorders>
              <w:top w:val="nil"/>
              <w:left w:val="single" w:sz="8" w:space="0" w:color="4F81BD"/>
              <w:bottom w:val="nil"/>
              <w:right w:val="single" w:sz="8" w:space="0" w:color="4F81BD"/>
            </w:tcBorders>
            <w:hideMark/>
          </w:tcPr>
          <w:p w:rsidR="008E3706" w:rsidRDefault="008E3706" w:rsidP="00563256">
            <w:pPr>
              <w:spacing w:before="120" w:line="240" w:lineRule="auto"/>
              <w:jc w:val="both"/>
              <w:rPr>
                <w:rFonts w:ascii="Arial" w:hAnsi="Arial"/>
                <w:sz w:val="26"/>
                <w:szCs w:val="26"/>
              </w:rPr>
            </w:pPr>
            <w:r>
              <w:rPr>
                <w:rFonts w:ascii="Arial" w:hAnsi="Arial"/>
                <w:sz w:val="26"/>
                <w:szCs w:val="26"/>
              </w:rPr>
              <w:t xml:space="preserve">The report of the small sized project was circulated 16 June 2021 No.641 note </w:t>
            </w:r>
            <w:proofErr w:type="gramStart"/>
            <w:r>
              <w:rPr>
                <w:rFonts w:ascii="Arial" w:hAnsi="Arial"/>
                <w:sz w:val="26"/>
                <w:szCs w:val="26"/>
              </w:rPr>
              <w:t>verbal  amongst</w:t>
            </w:r>
            <w:proofErr w:type="gramEnd"/>
            <w:r>
              <w:rPr>
                <w:rFonts w:ascii="Arial" w:hAnsi="Arial"/>
                <w:sz w:val="26"/>
                <w:szCs w:val="26"/>
              </w:rPr>
              <w:t xml:space="preserve"> the Member States for their consideration. Member States have been requested to nominate their relevant representatives for the establishment of a Task Force dedicated to scrutinizing the report and developing a Plan of Action on pharmaceuticals’ trade within the region. </w:t>
            </w:r>
          </w:p>
          <w:p w:rsidR="008E3706" w:rsidRDefault="008E3706" w:rsidP="00563256">
            <w:pPr>
              <w:spacing w:before="120" w:line="240" w:lineRule="auto"/>
              <w:jc w:val="both"/>
              <w:rPr>
                <w:rFonts w:ascii="Arial" w:hAnsi="Arial"/>
                <w:sz w:val="26"/>
                <w:szCs w:val="26"/>
              </w:rPr>
            </w:pPr>
          </w:p>
        </w:tc>
      </w:tr>
      <w:tr w:rsidR="008E3706" w:rsidTr="00563256">
        <w:tc>
          <w:tcPr>
            <w:tcW w:w="5000" w:type="pct"/>
            <w:gridSpan w:val="2"/>
            <w:tcBorders>
              <w:top w:val="double" w:sz="6" w:space="0" w:color="4F81BD"/>
              <w:left w:val="single" w:sz="8" w:space="0" w:color="4F81BD"/>
              <w:bottom w:val="single" w:sz="4" w:space="0" w:color="auto"/>
              <w:right w:val="single" w:sz="8" w:space="0" w:color="4F81BD"/>
            </w:tcBorders>
          </w:tcPr>
          <w:p w:rsidR="008E3706" w:rsidRDefault="008E3706" w:rsidP="00563256">
            <w:pPr>
              <w:spacing w:before="120" w:line="240" w:lineRule="auto"/>
              <w:jc w:val="both"/>
              <w:rPr>
                <w:rFonts w:ascii="Arial" w:hAnsi="Arial"/>
                <w:b/>
                <w:sz w:val="26"/>
                <w:szCs w:val="26"/>
                <w:rtl/>
              </w:rPr>
            </w:pPr>
            <w:r>
              <w:rPr>
                <w:rFonts w:ascii="Arial" w:hAnsi="Arial"/>
                <w:b/>
                <w:sz w:val="26"/>
                <w:szCs w:val="26"/>
              </w:rPr>
              <w:t xml:space="preserve">15. </w:t>
            </w:r>
            <w:r>
              <w:rPr>
                <w:rFonts w:ascii="Arial" w:hAnsi="Arial"/>
                <w:b/>
                <w:sz w:val="26"/>
                <w:szCs w:val="26"/>
                <w:u w:val="single"/>
              </w:rPr>
              <w:t>Expected Outcomes of the Project:</w:t>
            </w:r>
          </w:p>
          <w:p w:rsidR="008E3706" w:rsidRDefault="008E3706" w:rsidP="00563256">
            <w:pPr>
              <w:pStyle w:val="ListParagraph"/>
              <w:numPr>
                <w:ilvl w:val="0"/>
                <w:numId w:val="1"/>
              </w:numPr>
              <w:spacing w:before="120" w:after="120" w:line="240" w:lineRule="auto"/>
              <w:jc w:val="both"/>
              <w:rPr>
                <w:rFonts w:ascii="Arial" w:hAnsi="Arial"/>
                <w:sz w:val="26"/>
                <w:szCs w:val="26"/>
              </w:rPr>
            </w:pPr>
            <w:r>
              <w:rPr>
                <w:rFonts w:ascii="Arial" w:hAnsi="Arial"/>
                <w:sz w:val="26"/>
                <w:szCs w:val="26"/>
              </w:rPr>
              <w:t>Analysis of the current situation of ECO Members in Pharmaceuticals;</w:t>
            </w:r>
          </w:p>
          <w:p w:rsidR="008E3706" w:rsidRDefault="008E3706" w:rsidP="00563256">
            <w:pPr>
              <w:pStyle w:val="ListParagraph"/>
              <w:numPr>
                <w:ilvl w:val="0"/>
                <w:numId w:val="1"/>
              </w:numPr>
              <w:spacing w:before="120" w:after="120" w:line="240" w:lineRule="auto"/>
              <w:jc w:val="both"/>
              <w:rPr>
                <w:rFonts w:ascii="Arial" w:hAnsi="Arial"/>
                <w:sz w:val="26"/>
                <w:szCs w:val="26"/>
              </w:rPr>
            </w:pPr>
            <w:r>
              <w:rPr>
                <w:rFonts w:ascii="Arial" w:hAnsi="Arial"/>
                <w:sz w:val="26"/>
                <w:szCs w:val="26"/>
              </w:rPr>
              <w:t>Identification of (1) non-trade challenges and barriers (regulatory, marketing, policies and practices) to market expansion; and (2) trade related challenges and obstacles (pricing, localization, tariffs);</w:t>
            </w:r>
          </w:p>
          <w:p w:rsidR="008E3706" w:rsidRDefault="008E3706" w:rsidP="00563256">
            <w:pPr>
              <w:pStyle w:val="ListParagraph"/>
              <w:numPr>
                <w:ilvl w:val="0"/>
                <w:numId w:val="1"/>
              </w:numPr>
              <w:spacing w:before="120" w:after="120" w:line="240" w:lineRule="auto"/>
              <w:jc w:val="both"/>
              <w:rPr>
                <w:rFonts w:ascii="Arial" w:hAnsi="Arial"/>
                <w:sz w:val="26"/>
                <w:szCs w:val="26"/>
              </w:rPr>
            </w:pPr>
            <w:r>
              <w:rPr>
                <w:rFonts w:ascii="Arial" w:hAnsi="Arial"/>
                <w:sz w:val="26"/>
                <w:szCs w:val="26"/>
              </w:rPr>
              <w:t>Assessment of existing ECO agreements which can ease or rebate pharmaceutical trade along with new suggestions to facilitate the case;</w:t>
            </w:r>
          </w:p>
          <w:p w:rsidR="008E3706" w:rsidRDefault="008E3706" w:rsidP="00563256">
            <w:pPr>
              <w:pStyle w:val="ListParagraph"/>
              <w:numPr>
                <w:ilvl w:val="0"/>
                <w:numId w:val="1"/>
              </w:numPr>
              <w:spacing w:before="120" w:after="120" w:line="240" w:lineRule="auto"/>
              <w:jc w:val="both"/>
              <w:rPr>
                <w:rFonts w:ascii="Arial" w:hAnsi="Arial"/>
                <w:sz w:val="26"/>
                <w:szCs w:val="26"/>
                <w:lang w:bidi="fa-IR"/>
              </w:rPr>
            </w:pPr>
            <w:r>
              <w:rPr>
                <w:rFonts w:ascii="Arial" w:hAnsi="Arial"/>
                <w:sz w:val="26"/>
                <w:szCs w:val="26"/>
              </w:rPr>
              <w:t>The feasibility of establishing an ECO regional Medicines Agency.</w:t>
            </w:r>
          </w:p>
          <w:p w:rsidR="008E3706" w:rsidRDefault="008E3706" w:rsidP="00563256">
            <w:pPr>
              <w:pStyle w:val="ListParagraph"/>
              <w:spacing w:before="120" w:after="120" w:line="240" w:lineRule="auto"/>
              <w:jc w:val="both"/>
              <w:rPr>
                <w:rFonts w:ascii="Arial" w:hAnsi="Arial"/>
                <w:sz w:val="26"/>
                <w:szCs w:val="26"/>
                <w:lang w:bidi="fa-IR"/>
              </w:rPr>
            </w:pPr>
          </w:p>
        </w:tc>
      </w:tr>
      <w:tr w:rsidR="008E3706" w:rsidTr="00563256">
        <w:tc>
          <w:tcPr>
            <w:tcW w:w="5000" w:type="pct"/>
            <w:gridSpan w:val="2"/>
            <w:tcBorders>
              <w:top w:val="single" w:sz="4" w:space="0" w:color="auto"/>
              <w:left w:val="single" w:sz="4" w:space="0" w:color="auto"/>
              <w:bottom w:val="single" w:sz="4" w:space="0" w:color="auto"/>
              <w:right w:val="single" w:sz="4" w:space="0" w:color="auto"/>
            </w:tcBorders>
            <w:hideMark/>
          </w:tcPr>
          <w:p w:rsidR="008E3706" w:rsidRDefault="008E3706" w:rsidP="00563256">
            <w:pPr>
              <w:spacing w:before="120" w:after="120" w:line="240" w:lineRule="auto"/>
              <w:jc w:val="both"/>
              <w:rPr>
                <w:rFonts w:ascii="Arial" w:hAnsi="Arial"/>
                <w:b/>
                <w:sz w:val="26"/>
                <w:szCs w:val="26"/>
                <w:rtl/>
              </w:rPr>
            </w:pPr>
            <w:r>
              <w:rPr>
                <w:rFonts w:ascii="Arial" w:hAnsi="Arial"/>
                <w:b/>
                <w:sz w:val="26"/>
                <w:szCs w:val="26"/>
              </w:rPr>
              <w:t xml:space="preserve">16. </w:t>
            </w:r>
            <w:r>
              <w:rPr>
                <w:rFonts w:ascii="Arial" w:hAnsi="Arial"/>
                <w:b/>
                <w:sz w:val="26"/>
                <w:szCs w:val="26"/>
                <w:u w:val="single"/>
              </w:rPr>
              <w:t>Current status</w:t>
            </w:r>
            <w:r>
              <w:rPr>
                <w:rFonts w:ascii="Arial" w:hAnsi="Arial"/>
                <w:b/>
                <w:sz w:val="26"/>
                <w:szCs w:val="26"/>
              </w:rPr>
              <w:t>:</w:t>
            </w:r>
          </w:p>
          <w:p w:rsidR="008E3706" w:rsidRDefault="008E3706" w:rsidP="00563256">
            <w:pPr>
              <w:widowControl w:val="0"/>
              <w:numPr>
                <w:ilvl w:val="0"/>
                <w:numId w:val="2"/>
              </w:numPr>
              <w:spacing w:before="120" w:after="120" w:line="240" w:lineRule="auto"/>
              <w:jc w:val="both"/>
              <w:rPr>
                <w:rFonts w:ascii="Arial" w:hAnsi="Arial"/>
                <w:bCs/>
                <w:sz w:val="26"/>
                <w:szCs w:val="26"/>
              </w:rPr>
            </w:pPr>
            <w:r>
              <w:rPr>
                <w:rFonts w:ascii="Arial" w:hAnsi="Arial"/>
                <w:bCs/>
                <w:sz w:val="26"/>
                <w:szCs w:val="26"/>
              </w:rPr>
              <w:t>Small sized project feasibility study RCIP was completed mid-2021 whereupon final report circulated to MS. Member States were requested  to provide their nominations for the establishment of a Task Force dedicated to scrutinizing the report and developing a Plan of Action on the trade of pharmaceuticals within the region. Only the Republic of Azerbaijan responded to the request.</w:t>
            </w:r>
          </w:p>
          <w:p w:rsidR="008E3706" w:rsidRDefault="008E3706" w:rsidP="00563256">
            <w:pPr>
              <w:widowControl w:val="0"/>
              <w:numPr>
                <w:ilvl w:val="0"/>
                <w:numId w:val="2"/>
              </w:numPr>
              <w:spacing w:before="120" w:after="120" w:line="240" w:lineRule="auto"/>
              <w:jc w:val="both"/>
              <w:rPr>
                <w:rFonts w:ascii="Arial" w:hAnsi="Arial"/>
                <w:b/>
                <w:sz w:val="26"/>
                <w:szCs w:val="26"/>
              </w:rPr>
            </w:pPr>
            <w:r>
              <w:rPr>
                <w:rFonts w:ascii="Arial" w:hAnsi="Arial"/>
                <w:bCs/>
                <w:sz w:val="26"/>
                <w:szCs w:val="26"/>
              </w:rPr>
              <w:t>The 33</w:t>
            </w:r>
            <w:r>
              <w:rPr>
                <w:rFonts w:ascii="Arial" w:hAnsi="Arial"/>
                <w:bCs/>
                <w:sz w:val="26"/>
                <w:szCs w:val="26"/>
                <w:vertAlign w:val="superscript"/>
              </w:rPr>
              <w:t>nd</w:t>
            </w:r>
            <w:r>
              <w:rPr>
                <w:rFonts w:ascii="Arial" w:hAnsi="Arial"/>
                <w:bCs/>
                <w:sz w:val="26"/>
                <w:szCs w:val="26"/>
              </w:rPr>
              <w:t xml:space="preserve"> RPC decided that </w:t>
            </w:r>
            <w:r w:rsidRPr="009467C1">
              <w:rPr>
                <w:rFonts w:ascii="Arial" w:hAnsi="Arial"/>
                <w:b/>
                <w:sz w:val="26"/>
                <w:szCs w:val="26"/>
              </w:rPr>
              <w:t>the First meeting of the Task Force on Regional Capacity on Intra-Trade of Pharmaceuticals will be held as per the outcome/decision of the 5th HLEG meeting.</w:t>
            </w:r>
          </w:p>
          <w:p w:rsidR="008E3706" w:rsidRPr="009467C1" w:rsidRDefault="008E3706" w:rsidP="00563256">
            <w:pPr>
              <w:widowControl w:val="0"/>
              <w:numPr>
                <w:ilvl w:val="0"/>
                <w:numId w:val="2"/>
              </w:numPr>
              <w:spacing w:before="120" w:after="120" w:line="240" w:lineRule="auto"/>
              <w:jc w:val="both"/>
              <w:rPr>
                <w:rFonts w:ascii="Arial" w:hAnsi="Arial"/>
                <w:b/>
                <w:sz w:val="26"/>
                <w:szCs w:val="26"/>
              </w:rPr>
            </w:pPr>
            <w:r>
              <w:rPr>
                <w:rFonts w:ascii="Arial" w:hAnsi="Arial"/>
                <w:b/>
                <w:sz w:val="26"/>
                <w:szCs w:val="26"/>
              </w:rPr>
              <w:t xml:space="preserve">In 5 </w:t>
            </w:r>
            <w:proofErr w:type="gramStart"/>
            <w:r>
              <w:rPr>
                <w:rFonts w:ascii="Arial" w:hAnsi="Arial"/>
                <w:b/>
                <w:sz w:val="26"/>
                <w:szCs w:val="26"/>
              </w:rPr>
              <w:t>health</w:t>
            </w:r>
            <w:proofErr w:type="gramEnd"/>
            <w:r>
              <w:rPr>
                <w:rFonts w:ascii="Arial" w:hAnsi="Arial"/>
                <w:b/>
                <w:sz w:val="26"/>
                <w:szCs w:val="26"/>
              </w:rPr>
              <w:t xml:space="preserve"> ministerial in 24 May 2023 </w:t>
            </w:r>
            <w:proofErr w:type="spellStart"/>
            <w:r>
              <w:rPr>
                <w:rFonts w:ascii="Arial" w:hAnsi="Arial"/>
                <w:b/>
                <w:sz w:val="26"/>
                <w:szCs w:val="26"/>
              </w:rPr>
              <w:t>turkish</w:t>
            </w:r>
            <w:proofErr w:type="spellEnd"/>
            <w:r>
              <w:rPr>
                <w:rFonts w:ascii="Arial" w:hAnsi="Arial"/>
                <w:b/>
                <w:sz w:val="26"/>
                <w:szCs w:val="26"/>
              </w:rPr>
              <w:t xml:space="preserve"> delegation propose again more discussion about this project. </w:t>
            </w:r>
          </w:p>
          <w:p w:rsidR="008E3706" w:rsidRPr="00D8262E" w:rsidRDefault="008E3706" w:rsidP="00563256">
            <w:pPr>
              <w:widowControl w:val="0"/>
              <w:numPr>
                <w:ilvl w:val="0"/>
                <w:numId w:val="2"/>
              </w:numPr>
              <w:spacing w:before="120" w:after="120" w:line="240" w:lineRule="auto"/>
              <w:jc w:val="both"/>
              <w:rPr>
                <w:rFonts w:ascii="Arial" w:hAnsi="Arial"/>
                <w:b/>
                <w:bCs/>
                <w:sz w:val="26"/>
                <w:szCs w:val="26"/>
              </w:rPr>
            </w:pPr>
            <w:r w:rsidRPr="00D8262E">
              <w:rPr>
                <w:rFonts w:ascii="Arial" w:hAnsi="Arial"/>
                <w:b/>
                <w:bCs/>
                <w:sz w:val="26"/>
                <w:szCs w:val="26"/>
              </w:rPr>
              <w:t xml:space="preserve">The feasibility of establishing an ECO regional Medicines Agency will be next phase. </w:t>
            </w:r>
          </w:p>
          <w:p w:rsidR="008E3706" w:rsidRDefault="008E3706" w:rsidP="00563256">
            <w:pPr>
              <w:widowControl w:val="0"/>
              <w:numPr>
                <w:ilvl w:val="0"/>
                <w:numId w:val="2"/>
              </w:numPr>
              <w:spacing w:before="120" w:after="120" w:line="240" w:lineRule="auto"/>
              <w:jc w:val="both"/>
              <w:rPr>
                <w:rFonts w:ascii="Arial" w:hAnsi="Arial"/>
                <w:bCs/>
                <w:sz w:val="26"/>
                <w:szCs w:val="26"/>
              </w:rPr>
            </w:pPr>
            <w:r>
              <w:rPr>
                <w:rFonts w:ascii="Arial" w:hAnsi="Arial"/>
                <w:bCs/>
                <w:sz w:val="26"/>
                <w:szCs w:val="26"/>
              </w:rPr>
              <w:t xml:space="preserve"> </w:t>
            </w:r>
          </w:p>
        </w:tc>
      </w:tr>
    </w:tbl>
    <w:p w:rsidR="005858E8" w:rsidRDefault="005858E8"/>
    <w:sectPr w:rsidR="005858E8" w:rsidSect="00585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21D"/>
    <w:multiLevelType w:val="hybridMultilevel"/>
    <w:tmpl w:val="EBB8B9D8"/>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090C42"/>
    <w:multiLevelType w:val="hybridMultilevel"/>
    <w:tmpl w:val="FACCE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revisionView w:inkAnnotations="0"/>
  <w:defaultTabStop w:val="720"/>
  <w:characterSpacingControl w:val="doNotCompress"/>
  <w:savePreviewPicture/>
  <w:compat/>
  <w:rsids>
    <w:rsidRoot w:val="008E3706"/>
    <w:rsid w:val="005858E8"/>
    <w:rsid w:val="008E37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06"/>
    <w:rPr>
      <w:rFonts w:ascii="Calibri" w:eastAsia="Calibri" w:hAnsi="Calibri" w:cs="Arial"/>
    </w:rPr>
  </w:style>
  <w:style w:type="paragraph" w:styleId="Heading1">
    <w:name w:val="heading 1"/>
    <w:basedOn w:val="Normal"/>
    <w:next w:val="Normal"/>
    <w:link w:val="Heading1Char"/>
    <w:uiPriority w:val="9"/>
    <w:qFormat/>
    <w:rsid w:val="008E3706"/>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706"/>
    <w:rPr>
      <w:rFonts w:ascii="Cambria" w:eastAsia="Times New Roman" w:hAnsi="Cambria" w:cs="Times New Roman"/>
      <w:b/>
      <w:bCs/>
      <w:color w:val="365F91"/>
      <w:sz w:val="28"/>
      <w:szCs w:val="28"/>
    </w:rPr>
  </w:style>
  <w:style w:type="character" w:customStyle="1" w:styleId="ListParagraphChar">
    <w:name w:val="List Paragraph Char"/>
    <w:aliases w:val="маркированный Char,En tête 1 Char,Colorful List - Accent 11 Char,FooterText Char,Paragraphe de liste1 Char,List Paragraph (bulleted list) Char,Bullet 1 List Char,Lettre d'introduction Char,Paragrafo elenco Char"/>
    <w:link w:val="ListParagraph"/>
    <w:qFormat/>
    <w:locked/>
    <w:rsid w:val="008E3706"/>
  </w:style>
  <w:style w:type="paragraph" w:styleId="ListParagraph">
    <w:name w:val="List Paragraph"/>
    <w:aliases w:val="маркированный,En tête 1,Colorful List - Accent 11,FooterText,Paragraphe de liste1,List Paragraph (bulleted list),Bullet 1 List,Lettre d'introduction,Paragrafo elenco,1st level - Bullet List Paragraph,Medium Grid 1 - Accent 21"/>
    <w:basedOn w:val="Normal"/>
    <w:link w:val="ListParagraphChar"/>
    <w:qFormat/>
    <w:rsid w:val="008E3706"/>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javadi</dc:creator>
  <cp:lastModifiedBy>javadi</cp:lastModifiedBy>
  <cp:revision>1</cp:revision>
  <dcterms:created xsi:type="dcterms:W3CDTF">2023-08-08T09:07:00Z</dcterms:created>
  <dcterms:modified xsi:type="dcterms:W3CDTF">2023-08-08T09:07:00Z</dcterms:modified>
</cp:coreProperties>
</file>