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87" w:rsidRPr="00314D2E" w:rsidRDefault="00D92487" w:rsidP="00D92487">
      <w:pPr>
        <w:spacing w:after="0" w:line="240" w:lineRule="auto"/>
        <w:jc w:val="center"/>
        <w:rPr>
          <w:rFonts w:ascii="Times New Roman" w:hAnsi="Times New Roman" w:cs="Times New Roman"/>
          <w:b/>
          <w:bCs/>
          <w:sz w:val="28"/>
          <w:szCs w:val="28"/>
        </w:rPr>
      </w:pPr>
      <w:r w:rsidRPr="00314D2E">
        <w:rPr>
          <w:rFonts w:ascii="Times New Roman" w:hAnsi="Times New Roman" w:cs="Times New Roman"/>
          <w:b/>
          <w:sz w:val="28"/>
          <w:szCs w:val="28"/>
        </w:rPr>
        <w:t xml:space="preserve">Региональная инициатива  </w:t>
      </w:r>
    </w:p>
    <w:p w:rsidR="001C27CD" w:rsidRPr="00314D2E" w:rsidRDefault="00D92487" w:rsidP="00D92487">
      <w:pPr>
        <w:spacing w:after="0" w:line="240" w:lineRule="auto"/>
        <w:jc w:val="center"/>
        <w:rPr>
          <w:rFonts w:ascii="Times New Roman" w:hAnsi="Times New Roman" w:cs="Times New Roman"/>
          <w:b/>
          <w:bCs/>
          <w:sz w:val="28"/>
          <w:szCs w:val="28"/>
        </w:rPr>
      </w:pPr>
      <w:r w:rsidRPr="00314D2E">
        <w:rPr>
          <w:rFonts w:ascii="Times New Roman" w:hAnsi="Times New Roman" w:cs="Times New Roman"/>
          <w:b/>
          <w:sz w:val="28"/>
          <w:szCs w:val="28"/>
        </w:rPr>
        <w:t>по ресурсоэффективности, устойчивому развитию и экономике замкнутого цикла в регионе ОЭС (RESCUE)</w:t>
      </w:r>
    </w:p>
    <w:p w:rsidR="00264418" w:rsidRPr="00314D2E" w:rsidRDefault="00264418" w:rsidP="00D92487">
      <w:pPr>
        <w:spacing w:after="0" w:line="240" w:lineRule="auto"/>
        <w:jc w:val="center"/>
        <w:rPr>
          <w:rFonts w:ascii="Times New Roman" w:hAnsi="Times New Roman" w:cs="Times New Roman"/>
          <w:b/>
          <w:bCs/>
          <w:sz w:val="24"/>
          <w:szCs w:val="24"/>
        </w:rPr>
      </w:pPr>
    </w:p>
    <w:p w:rsidR="00264418" w:rsidRPr="00314D2E" w:rsidRDefault="00264418" w:rsidP="00D92487">
      <w:pPr>
        <w:spacing w:after="0" w:line="240" w:lineRule="auto"/>
        <w:jc w:val="center"/>
        <w:rPr>
          <w:rFonts w:ascii="Times New Roman" w:hAnsi="Times New Roman" w:cs="Times New Roman"/>
          <w:b/>
          <w:bCs/>
          <w:sz w:val="24"/>
          <w:szCs w:val="24"/>
        </w:rPr>
      </w:pPr>
      <w:r w:rsidRPr="00314D2E">
        <w:rPr>
          <w:rFonts w:ascii="Times New Roman" w:hAnsi="Times New Roman" w:cs="Times New Roman"/>
          <w:b/>
          <w:sz w:val="24"/>
        </w:rPr>
        <w:t>КОНЦЕПТУАЛЬНЫЙ ДОКУМЕНТ</w:t>
      </w:r>
    </w:p>
    <w:p w:rsidR="00D92487" w:rsidRPr="00314D2E" w:rsidRDefault="00D92487" w:rsidP="00D92487">
      <w:pPr>
        <w:spacing w:after="0" w:line="240" w:lineRule="auto"/>
        <w:rPr>
          <w:rFonts w:ascii="Times New Roman" w:hAnsi="Times New Roman" w:cs="Times New Roman"/>
          <w:b/>
          <w:bCs/>
          <w:sz w:val="24"/>
          <w:szCs w:val="24"/>
        </w:rPr>
      </w:pPr>
    </w:p>
    <w:p w:rsidR="00D92487" w:rsidRPr="00314D2E" w:rsidRDefault="00D92487" w:rsidP="001763DE">
      <w:pPr>
        <w:spacing w:after="0" w:line="240" w:lineRule="auto"/>
        <w:jc w:val="both"/>
        <w:rPr>
          <w:rFonts w:ascii="Times New Roman" w:hAnsi="Times New Roman" w:cs="Times New Roman"/>
          <w:b/>
          <w:bCs/>
          <w:i/>
          <w:iCs/>
          <w:sz w:val="24"/>
          <w:szCs w:val="24"/>
        </w:rPr>
      </w:pPr>
      <w:r w:rsidRPr="00314D2E">
        <w:rPr>
          <w:rFonts w:ascii="Times New Roman" w:hAnsi="Times New Roman" w:cs="Times New Roman"/>
          <w:b/>
          <w:i/>
          <w:sz w:val="24"/>
        </w:rPr>
        <w:t>Обоснование и исходная информация</w:t>
      </w:r>
    </w:p>
    <w:p w:rsidR="00D92487" w:rsidRPr="00314D2E" w:rsidRDefault="00D92487" w:rsidP="001763DE">
      <w:pPr>
        <w:spacing w:after="0" w:line="240" w:lineRule="auto"/>
        <w:jc w:val="both"/>
        <w:rPr>
          <w:rFonts w:ascii="Times New Roman" w:hAnsi="Times New Roman" w:cs="Times New Roman"/>
          <w:b/>
          <w:bCs/>
          <w:sz w:val="24"/>
          <w:szCs w:val="24"/>
        </w:rPr>
      </w:pPr>
    </w:p>
    <w:p w:rsidR="00917144" w:rsidRPr="00314D2E" w:rsidRDefault="005969B6" w:rsidP="001763DE">
      <w:pPr>
        <w:spacing w:after="0" w:line="240" w:lineRule="auto"/>
        <w:jc w:val="both"/>
        <w:rPr>
          <w:rFonts w:ascii="Times New Roman" w:hAnsi="Times New Roman" w:cs="Times New Roman"/>
          <w:sz w:val="24"/>
          <w:szCs w:val="24"/>
        </w:rPr>
      </w:pPr>
      <w:r w:rsidRPr="00314D2E">
        <w:rPr>
          <w:rFonts w:ascii="Times New Roman" w:hAnsi="Times New Roman" w:cs="Times New Roman"/>
          <w:sz w:val="24"/>
        </w:rPr>
        <w:t>Экономика замкнутого цикла - это новая парадигма устойчивого развития, которая за последнее десятилетие приобретает все большее значение во всем мире как фактор долгосрочного роста. Она представляет собой модель производства и потребления, которая предполагает повторное использование, совместное использование, ремонт, переоборудование, повторное изготовление и вторичную переработку существующих материалов и продуктов как можно дольше. Для перехода к экономике замкнутого цикла необходимы три принципа: устранение отходов и загрязнения окружающей среды, сохранение используемых продуктов и материалов и регенерация природных систем.</w:t>
      </w:r>
    </w:p>
    <w:p w:rsidR="00917144" w:rsidRPr="00314D2E" w:rsidRDefault="00917144" w:rsidP="001763DE">
      <w:pPr>
        <w:spacing w:after="0" w:line="240" w:lineRule="auto"/>
        <w:jc w:val="both"/>
        <w:rPr>
          <w:rFonts w:ascii="Times New Roman" w:hAnsi="Times New Roman" w:cs="Times New Roman"/>
          <w:sz w:val="24"/>
          <w:szCs w:val="24"/>
        </w:rPr>
      </w:pPr>
    </w:p>
    <w:p w:rsidR="0079118A" w:rsidRPr="00314D2E" w:rsidRDefault="00917144" w:rsidP="001763DE">
      <w:pPr>
        <w:spacing w:after="0" w:line="240" w:lineRule="auto"/>
        <w:jc w:val="both"/>
        <w:rPr>
          <w:rFonts w:ascii="Times New Roman" w:hAnsi="Times New Roman" w:cs="Times New Roman"/>
          <w:sz w:val="24"/>
          <w:szCs w:val="24"/>
        </w:rPr>
      </w:pPr>
      <w:r w:rsidRPr="00314D2E">
        <w:rPr>
          <w:rFonts w:ascii="Times New Roman" w:hAnsi="Times New Roman" w:cs="Times New Roman"/>
          <w:sz w:val="24"/>
        </w:rPr>
        <w:t xml:space="preserve">Во всем мире экономика замкнутого цикла обеспечивает решение тройного планетарного кризиса: изменения климата, загрязнения окружающей среды и утраты биоразнообразия путем восстановления природных систем. Эта модель продлевает жизненный цикл продуктов; сокращает использование природных ресурсов; уменьшает </w:t>
      </w:r>
      <w:proofErr w:type="gramStart"/>
      <w:r w:rsidRPr="00314D2E">
        <w:rPr>
          <w:rFonts w:ascii="Times New Roman" w:hAnsi="Times New Roman" w:cs="Times New Roman"/>
          <w:sz w:val="24"/>
        </w:rPr>
        <w:t>разрушение природы</w:t>
      </w:r>
      <w:proofErr w:type="gramEnd"/>
      <w:r w:rsidRPr="00314D2E">
        <w:rPr>
          <w:rFonts w:ascii="Times New Roman" w:hAnsi="Times New Roman" w:cs="Times New Roman"/>
          <w:sz w:val="24"/>
        </w:rPr>
        <w:t xml:space="preserve"> и среды обитания, количество отходов, а также потерю биоразнообразия. Еще одним преимуществом является сокращение общего годового объема выбросов парниковых газов.</w:t>
      </w:r>
      <w:r w:rsidRPr="00314D2E">
        <w:rPr>
          <w:rFonts w:ascii="Times New Roman" w:hAnsi="Times New Roman" w:cs="Times New Roman"/>
          <w:sz w:val="24"/>
        </w:rPr>
        <w:br/>
        <w:t xml:space="preserve"> Модель экономики замкнутого цикла может увеличить глобальную занятость и помочь обеспечить поставки важнейших материалов.</w:t>
      </w:r>
    </w:p>
    <w:p w:rsidR="0079118A" w:rsidRPr="00314D2E" w:rsidRDefault="0079118A" w:rsidP="001763DE">
      <w:pPr>
        <w:spacing w:after="0" w:line="240" w:lineRule="auto"/>
        <w:jc w:val="both"/>
        <w:rPr>
          <w:rFonts w:ascii="Times New Roman" w:hAnsi="Times New Roman" w:cs="Times New Roman"/>
          <w:sz w:val="24"/>
          <w:szCs w:val="24"/>
        </w:rPr>
      </w:pPr>
    </w:p>
    <w:p w:rsidR="00A73542" w:rsidRPr="00314D2E" w:rsidRDefault="00524B49" w:rsidP="00A73542">
      <w:pPr>
        <w:spacing w:after="0" w:line="240" w:lineRule="auto"/>
        <w:jc w:val="both"/>
        <w:rPr>
          <w:rFonts w:ascii="Times New Roman" w:hAnsi="Times New Roman" w:cs="Times New Roman"/>
          <w:sz w:val="24"/>
          <w:szCs w:val="24"/>
        </w:rPr>
      </w:pPr>
      <w:r w:rsidRPr="00314D2E">
        <w:rPr>
          <w:rFonts w:ascii="Times New Roman" w:hAnsi="Times New Roman" w:cs="Times New Roman"/>
          <w:sz w:val="24"/>
        </w:rPr>
        <w:t xml:space="preserve">Тем не менее, его глобальный, региональный и локальный охват в качестве смены парадигмы по-прежнему остается неудовлетворительным, несмотря </w:t>
      </w:r>
      <w:proofErr w:type="gramStart"/>
      <w:r w:rsidRPr="00314D2E">
        <w:rPr>
          <w:rFonts w:ascii="Times New Roman" w:hAnsi="Times New Roman" w:cs="Times New Roman"/>
          <w:sz w:val="24"/>
        </w:rPr>
        <w:t>на</w:t>
      </w:r>
      <w:proofErr w:type="gramEnd"/>
      <w:r w:rsidRPr="00314D2E">
        <w:rPr>
          <w:rFonts w:ascii="Times New Roman" w:hAnsi="Times New Roman" w:cs="Times New Roman"/>
          <w:sz w:val="24"/>
        </w:rPr>
        <w:t xml:space="preserve"> большие амбиции и вдохновляющие примеры. Менее 10% мировой экономической активности в 2022 и 2023 годах было циклическим. В этом ключе успешное и конструктивное сотрудничество на региональном уровне могло бы сыграть важную роль в стимулировании амбиций в области экономики замкнутого цикла и поиске региональных решений. В настоящее время в Европе, Африке, Латинской Америке и Карибском бассейне действует несколько региональных инициатив, которые преследуют четкие цели перехода к экономике замкнутого цикла или содействия ей. </w:t>
      </w:r>
    </w:p>
    <w:p w:rsidR="00A73542" w:rsidRPr="00314D2E" w:rsidRDefault="00A73542" w:rsidP="001763DE">
      <w:pPr>
        <w:spacing w:after="0" w:line="240" w:lineRule="auto"/>
        <w:jc w:val="both"/>
        <w:rPr>
          <w:rFonts w:ascii="Times New Roman" w:hAnsi="Times New Roman" w:cs="Times New Roman"/>
          <w:sz w:val="24"/>
          <w:szCs w:val="24"/>
        </w:rPr>
      </w:pPr>
    </w:p>
    <w:p w:rsidR="00776E6C" w:rsidRPr="00314D2E" w:rsidRDefault="008631DA" w:rsidP="001763DE">
      <w:pPr>
        <w:spacing w:after="0" w:line="240" w:lineRule="auto"/>
        <w:jc w:val="both"/>
        <w:rPr>
          <w:rFonts w:ascii="Times New Roman" w:hAnsi="Times New Roman" w:cs="Times New Roman"/>
          <w:sz w:val="24"/>
          <w:szCs w:val="24"/>
        </w:rPr>
      </w:pPr>
      <w:r w:rsidRPr="00314D2E">
        <w:rPr>
          <w:rFonts w:ascii="Times New Roman" w:hAnsi="Times New Roman" w:cs="Times New Roman"/>
          <w:sz w:val="24"/>
        </w:rPr>
        <w:t xml:space="preserve">Модель экономики замкнутого цикла представляется многообещающей и для региона ОЭС. Однородность существующих традиционных линейных экономических моделей в странах-членах, медленные темпы повышения производительности до уровня стран с развитой экономикой, взаимосвязанность цепочек поставок, потребность в целенаправленной политике для возобновления роста производительности, диверсификации, человеческого капитала, а также эффективной инфраструктуры и другие факторы в целом требуют тесного регионального сотрудничества в этой области. ОЭС требует согласованного подхода для ускорения принятия цикличности в качестве парадигмы и на системном уровне. Поэтому более чем уместно отстаивать общее видение </w:t>
      </w:r>
      <w:r w:rsidRPr="00314D2E">
        <w:rPr>
          <w:rFonts w:ascii="Times New Roman" w:hAnsi="Times New Roman" w:cs="Times New Roman"/>
          <w:sz w:val="24"/>
        </w:rPr>
        <w:lastRenderedPageBreak/>
        <w:t xml:space="preserve">циклического перехода, придерживаться принципов регенерации и расширять масштабы соответствующих решений в рамках региона.  </w:t>
      </w:r>
    </w:p>
    <w:p w:rsidR="00163D1D" w:rsidRPr="00314D2E" w:rsidRDefault="00163D1D" w:rsidP="001763DE">
      <w:pPr>
        <w:spacing w:after="0" w:line="240" w:lineRule="auto"/>
        <w:jc w:val="both"/>
        <w:rPr>
          <w:rFonts w:ascii="Times New Roman" w:hAnsi="Times New Roman" w:cs="Times New Roman"/>
          <w:sz w:val="24"/>
          <w:szCs w:val="24"/>
        </w:rPr>
      </w:pPr>
    </w:p>
    <w:p w:rsidR="00D92487" w:rsidRPr="00314D2E" w:rsidRDefault="00D91EAA" w:rsidP="001763DE">
      <w:pPr>
        <w:spacing w:after="0" w:line="240" w:lineRule="auto"/>
        <w:jc w:val="both"/>
        <w:rPr>
          <w:rFonts w:ascii="Times New Roman" w:hAnsi="Times New Roman" w:cs="Times New Roman"/>
          <w:sz w:val="24"/>
          <w:szCs w:val="24"/>
        </w:rPr>
      </w:pPr>
      <w:r w:rsidRPr="00314D2E">
        <w:rPr>
          <w:rFonts w:ascii="Times New Roman" w:hAnsi="Times New Roman" w:cs="Times New Roman"/>
          <w:sz w:val="24"/>
        </w:rPr>
        <w:t xml:space="preserve">Ускорение общесистемных преобразований в секторах с высокой отдачей, таких как обрабатывающая промышленность, пищевая промышленность, энергетика, горнодобывающая промышленность, водоснабжение, строительство и мобильность, посредством принятия и реализации политики цикличности и ресурсоэффективности, а также подходов к регенеративному производству является острой необходимостью для ОЭС идти рука об руку с глобальными тенденциями. Эта трансформация предусматривает </w:t>
      </w:r>
      <w:proofErr w:type="spellStart"/>
      <w:r w:rsidRPr="00314D2E">
        <w:rPr>
          <w:rFonts w:ascii="Times New Roman" w:hAnsi="Times New Roman" w:cs="Times New Roman"/>
          <w:sz w:val="24"/>
        </w:rPr>
        <w:t>перепроектирование</w:t>
      </w:r>
      <w:proofErr w:type="spellEnd"/>
      <w:r w:rsidRPr="00314D2E">
        <w:rPr>
          <w:rFonts w:ascii="Times New Roman" w:hAnsi="Times New Roman" w:cs="Times New Roman"/>
          <w:sz w:val="24"/>
        </w:rPr>
        <w:t xml:space="preserve"> наших новых промышленных систем таким образом, чтобы они стали регенеративными благодаря намерениям и внедрению новых циклических </w:t>
      </w:r>
      <w:proofErr w:type="spellStart"/>
      <w:proofErr w:type="gramStart"/>
      <w:r w:rsidRPr="00314D2E">
        <w:rPr>
          <w:rFonts w:ascii="Times New Roman" w:hAnsi="Times New Roman" w:cs="Times New Roman"/>
          <w:sz w:val="24"/>
        </w:rPr>
        <w:t>бизнес-моделей</w:t>
      </w:r>
      <w:proofErr w:type="spellEnd"/>
      <w:proofErr w:type="gramEnd"/>
      <w:r w:rsidRPr="00314D2E">
        <w:rPr>
          <w:rFonts w:ascii="Times New Roman" w:hAnsi="Times New Roman" w:cs="Times New Roman"/>
          <w:sz w:val="24"/>
        </w:rPr>
        <w:t xml:space="preserve"> и принципов должной осмотрительности. Стимулирование круговых продовольственных систем, следовательно, восстановит природные богатства для людей, одновременно решая проблему тройного планетарного кризиса. Хотя переход к "зеленой" энергетике требует экспоненциального роста спроса на металлы и минералы, цикличность может превратить эту проблему в возможность, предлагая решения с высокой добавленной стоимостью и высокой отдачей в цепочках поставок полезных ископаемых. Необходимы решительные действия для диверсификации устойчивых источников сырья и внедрения круговых решений в горнодобывающем секторе. ОЭС может достичь всех этих целей, проанализировав лучшие и вдохновляющие примеры перехода к ресурсоэффективности во всем мире.</w:t>
      </w:r>
    </w:p>
    <w:p w:rsidR="00496D99" w:rsidRPr="00314D2E" w:rsidRDefault="00496D99" w:rsidP="001763DE">
      <w:pPr>
        <w:spacing w:after="0" w:line="240" w:lineRule="auto"/>
        <w:jc w:val="both"/>
        <w:rPr>
          <w:rFonts w:ascii="Times New Roman" w:hAnsi="Times New Roman" w:cs="Times New Roman"/>
          <w:sz w:val="24"/>
          <w:szCs w:val="24"/>
        </w:rPr>
      </w:pPr>
    </w:p>
    <w:p w:rsidR="00691668" w:rsidRPr="00314D2E" w:rsidRDefault="001B5080" w:rsidP="001763DE">
      <w:pPr>
        <w:spacing w:after="0" w:line="240" w:lineRule="auto"/>
        <w:jc w:val="both"/>
        <w:rPr>
          <w:rFonts w:ascii="Times New Roman" w:hAnsi="Times New Roman" w:cs="Times New Roman"/>
          <w:sz w:val="24"/>
          <w:szCs w:val="24"/>
        </w:rPr>
      </w:pPr>
      <w:r w:rsidRPr="00314D2E">
        <w:rPr>
          <w:rFonts w:ascii="Times New Roman" w:hAnsi="Times New Roman" w:cs="Times New Roman"/>
          <w:sz w:val="24"/>
        </w:rPr>
        <w:t>Недавно ОЭС начала осознавать важность этого перехода. “</w:t>
      </w:r>
      <w:proofErr w:type="spellStart"/>
      <w:proofErr w:type="gramStart"/>
      <w:r w:rsidRPr="00314D2E">
        <w:rPr>
          <w:rFonts w:ascii="Times New Roman" w:hAnsi="Times New Roman" w:cs="Times New Roman"/>
          <w:sz w:val="24"/>
        </w:rPr>
        <w:t>C</w:t>
      </w:r>
      <w:proofErr w:type="gramEnd"/>
      <w:r w:rsidRPr="00314D2E">
        <w:rPr>
          <w:rFonts w:ascii="Times New Roman" w:hAnsi="Times New Roman" w:cs="Times New Roman"/>
          <w:sz w:val="24"/>
        </w:rPr>
        <w:t>тратегия</w:t>
      </w:r>
      <w:proofErr w:type="spellEnd"/>
      <w:r w:rsidRPr="00314D2E">
        <w:rPr>
          <w:rFonts w:ascii="Times New Roman" w:hAnsi="Times New Roman" w:cs="Times New Roman"/>
          <w:sz w:val="24"/>
        </w:rPr>
        <w:t xml:space="preserve"> энергетического сотрудничества ОЭС на период до 2030 года” предполагает, что Региональный рынок электроэнергии, Центр чистой энергии, моделирование зеленой экономики или устойчивость нисходящего потока со ссылкой на экономику замкнутого цикла, например, могут быть созданы в сотрудничестве с организациями и странами, накопившими многолетний опыт в сборе данных маркетинговых исследований и создании перспективных документов для успешного достижения высшей цели. Предметная стратегия предусматривает, что политика в области экономики замкнутого цикла должна осуществляться снизу вверх  с учетом действий городов, университетов и компаний в той же мере, что и на национальном и международном уровнях. Однако эти инициативы и начинания на низовом уровне не могли бы быть реализованы без твердой поддержки и стимулирования на высоком уровне со стороны правительств.</w:t>
      </w:r>
    </w:p>
    <w:p w:rsidR="00691668" w:rsidRPr="00314D2E" w:rsidRDefault="00691668" w:rsidP="001763DE">
      <w:pPr>
        <w:spacing w:after="0" w:line="240" w:lineRule="auto"/>
        <w:jc w:val="both"/>
        <w:rPr>
          <w:rFonts w:ascii="Times New Roman" w:hAnsi="Times New Roman" w:cs="Times New Roman"/>
          <w:sz w:val="24"/>
          <w:szCs w:val="24"/>
        </w:rPr>
      </w:pPr>
    </w:p>
    <w:p w:rsidR="00496D99" w:rsidRPr="00314D2E" w:rsidRDefault="00691668" w:rsidP="001763DE">
      <w:pPr>
        <w:spacing w:after="0" w:line="240" w:lineRule="auto"/>
        <w:jc w:val="both"/>
        <w:rPr>
          <w:rFonts w:ascii="Times New Roman" w:hAnsi="Times New Roman" w:cs="Times New Roman"/>
          <w:sz w:val="24"/>
          <w:szCs w:val="24"/>
        </w:rPr>
      </w:pPr>
      <w:r w:rsidRPr="00314D2E">
        <w:rPr>
          <w:rFonts w:ascii="Times New Roman" w:hAnsi="Times New Roman" w:cs="Times New Roman"/>
          <w:sz w:val="24"/>
        </w:rPr>
        <w:t xml:space="preserve">Учитывая постоянно растущую приоритетность данной тематики в глобальной повестке дня, ее региональное внедрение могло бы получить решительную поддержку со стороны соответствующих международных заинтересованных сторон. Это стремление может продемонстрировать солидарность стран региона ОЭС, которые преимущественно богаты углеводородными или другими минеральными ресурсами и традиционно проводят политику линейной экономической модели, направленную на изменение устоявшихся стереотипов. Таким образом, эти страны могут позиционировать себя как сторонники справедливого и инновационного перехода к цикличности на международной арене.  </w:t>
      </w:r>
    </w:p>
    <w:p w:rsidR="00E521ED" w:rsidRPr="00314D2E" w:rsidRDefault="00E521ED" w:rsidP="00E521ED">
      <w:pPr>
        <w:spacing w:after="0" w:line="240" w:lineRule="auto"/>
        <w:jc w:val="both"/>
        <w:rPr>
          <w:rFonts w:ascii="Times New Roman" w:hAnsi="Times New Roman" w:cs="Times New Roman"/>
          <w:sz w:val="24"/>
          <w:szCs w:val="24"/>
        </w:rPr>
      </w:pPr>
    </w:p>
    <w:p w:rsidR="00E521ED" w:rsidRPr="00314D2E" w:rsidRDefault="00E521ED" w:rsidP="00E521ED">
      <w:pPr>
        <w:spacing w:after="0" w:line="240" w:lineRule="auto"/>
        <w:jc w:val="both"/>
        <w:rPr>
          <w:rFonts w:ascii="Times New Roman" w:hAnsi="Times New Roman" w:cs="Times New Roman"/>
          <w:sz w:val="24"/>
          <w:szCs w:val="24"/>
        </w:rPr>
      </w:pPr>
      <w:proofErr w:type="gramStart"/>
      <w:r w:rsidRPr="00314D2E">
        <w:rPr>
          <w:rFonts w:ascii="Times New Roman" w:hAnsi="Times New Roman" w:cs="Times New Roman"/>
          <w:sz w:val="24"/>
        </w:rPr>
        <w:t xml:space="preserve">Учитывая это, Региональная инициатива по ресурсоэффективности, устойчивости и экономике замкнутого цикла в регионе ОЭС (RESCUE) могла бы быть запущена в качестве совместной инициативы ОЭС в тесном сотрудничестве со Специальной программой Организации Объединенных Наций для экономик Центральной Азии </w:t>
      </w:r>
      <w:r w:rsidRPr="00314D2E">
        <w:rPr>
          <w:rFonts w:ascii="Times New Roman" w:hAnsi="Times New Roman" w:cs="Times New Roman"/>
          <w:sz w:val="24"/>
        </w:rPr>
        <w:lastRenderedPageBreak/>
        <w:t>(СПЕКА) и Организацией тюркских государств (ОТС), которые разделяют схожие перспективы, членство и географический охват с ОЭС.</w:t>
      </w:r>
      <w:proofErr w:type="gramEnd"/>
    </w:p>
    <w:p w:rsidR="00935779" w:rsidRPr="00314D2E" w:rsidRDefault="00935779" w:rsidP="001763DE">
      <w:pPr>
        <w:spacing w:after="0" w:line="240" w:lineRule="auto"/>
        <w:jc w:val="both"/>
        <w:rPr>
          <w:rFonts w:ascii="Times New Roman" w:hAnsi="Times New Roman" w:cs="Times New Roman"/>
          <w:sz w:val="24"/>
          <w:szCs w:val="24"/>
        </w:rPr>
      </w:pPr>
    </w:p>
    <w:p w:rsidR="00D92487" w:rsidRPr="00314D2E" w:rsidRDefault="00D92487" w:rsidP="001763DE">
      <w:pPr>
        <w:spacing w:after="0" w:line="240" w:lineRule="auto"/>
        <w:jc w:val="both"/>
        <w:rPr>
          <w:rFonts w:ascii="Times New Roman" w:hAnsi="Times New Roman" w:cs="Times New Roman"/>
          <w:b/>
          <w:bCs/>
          <w:sz w:val="24"/>
          <w:szCs w:val="24"/>
        </w:rPr>
      </w:pPr>
    </w:p>
    <w:p w:rsidR="00D92487" w:rsidRPr="00314D2E" w:rsidRDefault="00D92487" w:rsidP="001763DE">
      <w:pPr>
        <w:spacing w:after="0" w:line="240" w:lineRule="auto"/>
        <w:jc w:val="both"/>
        <w:rPr>
          <w:rFonts w:ascii="Times New Roman" w:hAnsi="Times New Roman" w:cs="Times New Roman"/>
          <w:b/>
          <w:bCs/>
          <w:i/>
          <w:iCs/>
          <w:sz w:val="24"/>
          <w:szCs w:val="24"/>
        </w:rPr>
      </w:pPr>
      <w:r w:rsidRPr="00314D2E">
        <w:rPr>
          <w:rFonts w:ascii="Times New Roman" w:hAnsi="Times New Roman" w:cs="Times New Roman"/>
          <w:b/>
          <w:i/>
          <w:sz w:val="24"/>
        </w:rPr>
        <w:t>Цели</w:t>
      </w:r>
    </w:p>
    <w:p w:rsidR="00D92487" w:rsidRPr="00314D2E" w:rsidRDefault="00D92487" w:rsidP="001763DE">
      <w:pPr>
        <w:spacing w:after="0" w:line="240" w:lineRule="auto"/>
        <w:jc w:val="both"/>
        <w:rPr>
          <w:rFonts w:ascii="Times New Roman" w:hAnsi="Times New Roman" w:cs="Times New Roman"/>
          <w:b/>
          <w:bCs/>
          <w:sz w:val="24"/>
          <w:szCs w:val="24"/>
        </w:rPr>
      </w:pPr>
    </w:p>
    <w:p w:rsidR="00DF3279" w:rsidRPr="00314D2E" w:rsidRDefault="00763B3A" w:rsidP="00F522BB">
      <w:pPr>
        <w:spacing w:after="0" w:line="240" w:lineRule="auto"/>
        <w:jc w:val="both"/>
        <w:rPr>
          <w:rFonts w:ascii="Times New Roman" w:hAnsi="Times New Roman" w:cs="Times New Roman"/>
          <w:sz w:val="24"/>
          <w:szCs w:val="24"/>
        </w:rPr>
      </w:pPr>
      <w:r w:rsidRPr="00314D2E">
        <w:rPr>
          <w:rFonts w:ascii="Times New Roman" w:hAnsi="Times New Roman" w:cs="Times New Roman"/>
          <w:sz w:val="24"/>
        </w:rPr>
        <w:t xml:space="preserve">Ключевой всеобъемлющей целью RESCUE является создание платформы регионального сотрудничества, которая будет выступать за справедливый переход к ресурсосберегающей, циклической и регенеративной экономике, а также поддерживать согласованную политику цикличности и более устойчивого управления природными ресурсами. </w:t>
      </w:r>
    </w:p>
    <w:p w:rsidR="00DF3279" w:rsidRPr="00314D2E" w:rsidRDefault="00DF3279" w:rsidP="00F522BB">
      <w:pPr>
        <w:spacing w:after="0" w:line="240" w:lineRule="auto"/>
        <w:jc w:val="both"/>
        <w:rPr>
          <w:rFonts w:ascii="Times New Roman" w:hAnsi="Times New Roman" w:cs="Times New Roman"/>
          <w:sz w:val="24"/>
          <w:szCs w:val="24"/>
        </w:rPr>
      </w:pPr>
    </w:p>
    <w:p w:rsidR="00DF3279" w:rsidRPr="00314D2E" w:rsidRDefault="009217C3" w:rsidP="00F522BB">
      <w:pPr>
        <w:spacing w:after="0" w:line="240" w:lineRule="auto"/>
        <w:jc w:val="both"/>
        <w:rPr>
          <w:rFonts w:ascii="Times New Roman" w:hAnsi="Times New Roman" w:cs="Times New Roman"/>
          <w:sz w:val="24"/>
          <w:szCs w:val="24"/>
        </w:rPr>
      </w:pPr>
      <w:r w:rsidRPr="00314D2E">
        <w:rPr>
          <w:rFonts w:ascii="Times New Roman" w:hAnsi="Times New Roman" w:cs="Times New Roman"/>
          <w:sz w:val="24"/>
        </w:rPr>
        <w:t xml:space="preserve">Эта информационно-пропагандистская деятельность и поддержка будут осуществляться с целью расширения масштабов устойчивых рынков и отраслей промышленности, повышения устойчивости в регионе ОЭС в долгосрочной перспективе и приведения в соответствие с глобальными моделями перехода. RESCUE направлено на решение и преодоление проблем, с которыми сталкиваются государства - члены ОЭС. Это дополнит и внесет вклад в текущие национальные усилия по обеспечению цикличности, решительно поддерживая переходный процесс в регионе ОЭС для достижения устойчивой и равноправной экономики.  </w:t>
      </w:r>
    </w:p>
    <w:p w:rsidR="00DF3279" w:rsidRPr="00314D2E" w:rsidRDefault="00DF3279" w:rsidP="00F522BB">
      <w:pPr>
        <w:spacing w:after="0" w:line="240" w:lineRule="auto"/>
        <w:jc w:val="both"/>
        <w:rPr>
          <w:rFonts w:ascii="Times New Roman" w:hAnsi="Times New Roman" w:cs="Times New Roman"/>
          <w:sz w:val="24"/>
          <w:szCs w:val="24"/>
        </w:rPr>
      </w:pPr>
    </w:p>
    <w:p w:rsidR="00F2128B" w:rsidRPr="00314D2E" w:rsidRDefault="00F2128B" w:rsidP="00F522BB">
      <w:pPr>
        <w:spacing w:after="0" w:line="240" w:lineRule="auto"/>
        <w:jc w:val="both"/>
        <w:rPr>
          <w:rFonts w:ascii="Times New Roman" w:hAnsi="Times New Roman" w:cs="Times New Roman"/>
          <w:sz w:val="24"/>
          <w:szCs w:val="24"/>
        </w:rPr>
      </w:pPr>
      <w:r w:rsidRPr="00314D2E">
        <w:rPr>
          <w:rFonts w:ascii="Times New Roman" w:hAnsi="Times New Roman" w:cs="Times New Roman"/>
          <w:sz w:val="24"/>
        </w:rPr>
        <w:t>Эти мероприятия будут рассчитаны на несколько лет и сосредоточены на взаимосвязях между секторами. Этот процесс повысит узнаваемость региона ОЭС, а также повысит эффективность и динамизм регионального сотрудничества в свете текущих потребностей и устремлений государств - членов ОЭС.</w:t>
      </w:r>
    </w:p>
    <w:p w:rsidR="00616E37" w:rsidRPr="00314D2E" w:rsidRDefault="00616E37" w:rsidP="00F522BB">
      <w:pPr>
        <w:spacing w:after="0" w:line="240" w:lineRule="auto"/>
        <w:jc w:val="both"/>
        <w:rPr>
          <w:rFonts w:ascii="Times New Roman" w:hAnsi="Times New Roman" w:cs="Times New Roman"/>
          <w:sz w:val="24"/>
          <w:szCs w:val="24"/>
        </w:rPr>
      </w:pPr>
    </w:p>
    <w:p w:rsidR="00616E37" w:rsidRPr="00314D2E" w:rsidRDefault="004961D6" w:rsidP="00F522BB">
      <w:pPr>
        <w:spacing w:after="0" w:line="240" w:lineRule="auto"/>
        <w:jc w:val="both"/>
        <w:rPr>
          <w:rFonts w:ascii="Times New Roman" w:hAnsi="Times New Roman" w:cs="Times New Roman"/>
          <w:i/>
          <w:iCs/>
          <w:sz w:val="24"/>
          <w:szCs w:val="24"/>
        </w:rPr>
      </w:pPr>
      <w:r w:rsidRPr="00314D2E">
        <w:rPr>
          <w:rFonts w:ascii="Times New Roman" w:hAnsi="Times New Roman" w:cs="Times New Roman"/>
          <w:sz w:val="24"/>
        </w:rPr>
        <w:t>Ниже приводится неполный перечень конкретных целей инициативы:</w:t>
      </w:r>
    </w:p>
    <w:p w:rsidR="004F72AA" w:rsidRPr="00314D2E" w:rsidRDefault="004F72AA" w:rsidP="00DB11C7">
      <w:pPr>
        <w:pStyle w:val="ListParagraph"/>
        <w:spacing w:after="0" w:line="240" w:lineRule="auto"/>
        <w:ind w:left="450"/>
        <w:jc w:val="both"/>
        <w:rPr>
          <w:rFonts w:ascii="Times New Roman" w:hAnsi="Times New Roman" w:cs="Times New Roman"/>
          <w:sz w:val="16"/>
          <w:szCs w:val="16"/>
        </w:rPr>
      </w:pPr>
    </w:p>
    <w:p w:rsidR="004F5C70" w:rsidRPr="00314D2E" w:rsidRDefault="004F5C70" w:rsidP="004F5C70">
      <w:pPr>
        <w:pStyle w:val="ListParagraph"/>
        <w:numPr>
          <w:ilvl w:val="0"/>
          <w:numId w:val="1"/>
        </w:numPr>
        <w:spacing w:after="0" w:line="240" w:lineRule="auto"/>
        <w:ind w:left="450" w:hanging="450"/>
        <w:jc w:val="both"/>
        <w:rPr>
          <w:rFonts w:ascii="Times New Roman" w:hAnsi="Times New Roman" w:cs="Times New Roman"/>
          <w:i/>
          <w:iCs/>
          <w:sz w:val="24"/>
          <w:szCs w:val="24"/>
        </w:rPr>
      </w:pPr>
      <w:r w:rsidRPr="00314D2E">
        <w:rPr>
          <w:rFonts w:ascii="Times New Roman" w:hAnsi="Times New Roman" w:cs="Times New Roman"/>
          <w:sz w:val="24"/>
        </w:rPr>
        <w:t>внести свой вклад в существующие глобальные усилия с региональной точки зрения по переходу к ресурсосберегающей, циклической и регенеративной экономике и в долгосрочной перспективе стать региональным центром знаний и передового опыта по этому переходу;</w:t>
      </w:r>
    </w:p>
    <w:p w:rsidR="004F5C70" w:rsidRPr="00314D2E" w:rsidRDefault="004F5C70" w:rsidP="004F5C70">
      <w:pPr>
        <w:pStyle w:val="ListParagraph"/>
        <w:spacing w:after="0" w:line="240" w:lineRule="auto"/>
        <w:ind w:left="450"/>
        <w:jc w:val="both"/>
        <w:rPr>
          <w:rFonts w:ascii="Times New Roman" w:hAnsi="Times New Roman" w:cs="Times New Roman"/>
          <w:sz w:val="16"/>
          <w:szCs w:val="16"/>
        </w:rPr>
      </w:pPr>
    </w:p>
    <w:p w:rsidR="004F72AA" w:rsidRPr="00314D2E" w:rsidRDefault="004F72AA" w:rsidP="001763DE">
      <w:pPr>
        <w:pStyle w:val="ListParagraph"/>
        <w:numPr>
          <w:ilvl w:val="0"/>
          <w:numId w:val="1"/>
        </w:numPr>
        <w:spacing w:after="0" w:line="240" w:lineRule="auto"/>
        <w:ind w:left="450" w:hanging="450"/>
        <w:jc w:val="both"/>
        <w:rPr>
          <w:rFonts w:ascii="Times New Roman" w:hAnsi="Times New Roman" w:cs="Times New Roman"/>
          <w:i/>
          <w:iCs/>
          <w:sz w:val="24"/>
          <w:szCs w:val="24"/>
        </w:rPr>
      </w:pPr>
      <w:r w:rsidRPr="00314D2E">
        <w:rPr>
          <w:rFonts w:ascii="Times New Roman" w:hAnsi="Times New Roman" w:cs="Times New Roman"/>
          <w:sz w:val="24"/>
        </w:rPr>
        <w:t>заложить основу для хорошо продуманного и ориентированного на долгосрочную перспективу регионального плана действий, который будет представлять собой руководящую основу для перехода к циклической и инклюзивной экономике;</w:t>
      </w:r>
    </w:p>
    <w:p w:rsidR="004A71B6" w:rsidRPr="00314D2E" w:rsidRDefault="004A71B6" w:rsidP="004A71B6">
      <w:pPr>
        <w:pStyle w:val="ListParagraph"/>
        <w:rPr>
          <w:rFonts w:ascii="Times New Roman" w:hAnsi="Times New Roman" w:cs="Times New Roman"/>
          <w:sz w:val="16"/>
          <w:szCs w:val="16"/>
        </w:rPr>
      </w:pPr>
    </w:p>
    <w:p w:rsidR="00F522BB" w:rsidRPr="00314D2E" w:rsidRDefault="00F522BB" w:rsidP="001763DE">
      <w:pPr>
        <w:pStyle w:val="ListParagraph"/>
        <w:numPr>
          <w:ilvl w:val="0"/>
          <w:numId w:val="1"/>
        </w:numPr>
        <w:spacing w:after="0" w:line="240" w:lineRule="auto"/>
        <w:ind w:left="450" w:hanging="450"/>
        <w:jc w:val="both"/>
        <w:rPr>
          <w:rFonts w:ascii="Times New Roman" w:hAnsi="Times New Roman" w:cs="Times New Roman"/>
          <w:i/>
          <w:iCs/>
          <w:sz w:val="24"/>
          <w:szCs w:val="24"/>
        </w:rPr>
      </w:pPr>
      <w:r w:rsidRPr="00314D2E">
        <w:rPr>
          <w:rFonts w:ascii="Times New Roman" w:hAnsi="Times New Roman" w:cs="Times New Roman"/>
          <w:sz w:val="24"/>
        </w:rPr>
        <w:t xml:space="preserve">обеспечить более устойчивое потребление и производство посредством консультативной поддержки, наращивания потенциала и мероприятий по повышению осведомленности, которые будут проводиться совместно с потенциальными международными партнерами; </w:t>
      </w:r>
    </w:p>
    <w:p w:rsidR="00DB11C7" w:rsidRPr="00314D2E" w:rsidRDefault="00DB11C7" w:rsidP="00DB11C7">
      <w:pPr>
        <w:pStyle w:val="ListParagraph"/>
        <w:rPr>
          <w:rFonts w:ascii="Times New Roman" w:hAnsi="Times New Roman" w:cs="Times New Roman"/>
          <w:sz w:val="16"/>
          <w:szCs w:val="16"/>
        </w:rPr>
      </w:pPr>
    </w:p>
    <w:p w:rsidR="00DB11C7" w:rsidRPr="00314D2E" w:rsidRDefault="00DB11C7" w:rsidP="001763DE">
      <w:pPr>
        <w:pStyle w:val="ListParagraph"/>
        <w:numPr>
          <w:ilvl w:val="0"/>
          <w:numId w:val="1"/>
        </w:numPr>
        <w:spacing w:after="0" w:line="240" w:lineRule="auto"/>
        <w:ind w:left="450" w:hanging="450"/>
        <w:jc w:val="both"/>
        <w:rPr>
          <w:rFonts w:ascii="Times New Roman" w:hAnsi="Times New Roman" w:cs="Times New Roman"/>
          <w:i/>
          <w:iCs/>
          <w:sz w:val="24"/>
          <w:szCs w:val="24"/>
        </w:rPr>
      </w:pPr>
      <w:r w:rsidRPr="00314D2E">
        <w:rPr>
          <w:rFonts w:ascii="Times New Roman" w:hAnsi="Times New Roman" w:cs="Times New Roman"/>
          <w:sz w:val="24"/>
        </w:rPr>
        <w:t>ознакомиться с лучшими и вдохновляющими примерами и инновационными решениями в области цикличности за пределами границ и из внешнего мира, которые уже доступны, включая нормативную базу, стандарты и методологии измерения, которые обеспечивают четкое руководство по установлению циклических целей;</w:t>
      </w:r>
    </w:p>
    <w:p w:rsidR="00763B3A" w:rsidRPr="00314D2E" w:rsidRDefault="00763B3A" w:rsidP="00763B3A">
      <w:pPr>
        <w:pStyle w:val="ListParagraph"/>
        <w:spacing w:after="0" w:line="240" w:lineRule="auto"/>
        <w:ind w:left="450"/>
        <w:jc w:val="both"/>
        <w:rPr>
          <w:rFonts w:ascii="Times New Roman" w:hAnsi="Times New Roman" w:cs="Times New Roman"/>
          <w:b/>
          <w:bCs/>
          <w:sz w:val="16"/>
          <w:szCs w:val="16"/>
        </w:rPr>
      </w:pPr>
    </w:p>
    <w:p w:rsidR="009217C3" w:rsidRPr="00314D2E" w:rsidRDefault="00CC7A59" w:rsidP="001763DE">
      <w:pPr>
        <w:pStyle w:val="ListParagraph"/>
        <w:numPr>
          <w:ilvl w:val="0"/>
          <w:numId w:val="1"/>
        </w:numPr>
        <w:spacing w:after="0" w:line="240" w:lineRule="auto"/>
        <w:ind w:left="450" w:hanging="450"/>
        <w:jc w:val="both"/>
        <w:rPr>
          <w:rFonts w:ascii="Times New Roman" w:hAnsi="Times New Roman" w:cs="Times New Roman"/>
          <w:b/>
          <w:bCs/>
          <w:i/>
          <w:iCs/>
          <w:sz w:val="24"/>
          <w:szCs w:val="24"/>
        </w:rPr>
      </w:pPr>
      <w:r w:rsidRPr="00314D2E">
        <w:rPr>
          <w:rFonts w:ascii="Times New Roman" w:hAnsi="Times New Roman" w:cs="Times New Roman"/>
          <w:sz w:val="24"/>
        </w:rPr>
        <w:t xml:space="preserve">разработать план комплексной и согласованной мобилизации, распределения и расходования ресурсов для циклической и регенеративной экономики в регионе с </w:t>
      </w:r>
      <w:r w:rsidRPr="00314D2E">
        <w:rPr>
          <w:rFonts w:ascii="Times New Roman" w:hAnsi="Times New Roman" w:cs="Times New Roman"/>
          <w:sz w:val="24"/>
        </w:rPr>
        <w:lastRenderedPageBreak/>
        <w:t xml:space="preserve">целью разработки и реализации соответствующей политики. Это мероприятие предусматривает совместный сбор средств и инвестирование в циклическую и регенеративную экономику путем привлечения широкого спектра внутренних и международных источников финансирования, государственного и частного капитала. Результатом такого взаимодействия могла бы стать дорожная карта о том, как преодолеть существующие проблемы с финансированием для этой трансформации, обеспечить возможность преобразующих действий, разблокировать и увеличить инвестиции в региональные инициативы по переходу на замкнутый цикл; </w:t>
      </w:r>
    </w:p>
    <w:p w:rsidR="009217C3" w:rsidRPr="00314D2E" w:rsidRDefault="009217C3" w:rsidP="009217C3">
      <w:pPr>
        <w:pStyle w:val="ListParagraph"/>
        <w:rPr>
          <w:rFonts w:ascii="Times New Roman" w:hAnsi="Times New Roman" w:cs="Times New Roman"/>
          <w:b/>
          <w:bCs/>
          <w:sz w:val="16"/>
          <w:szCs w:val="16"/>
        </w:rPr>
      </w:pPr>
    </w:p>
    <w:p w:rsidR="00F2128B" w:rsidRPr="00314D2E" w:rsidRDefault="009217C3" w:rsidP="001763DE">
      <w:pPr>
        <w:pStyle w:val="ListParagraph"/>
        <w:numPr>
          <w:ilvl w:val="0"/>
          <w:numId w:val="1"/>
        </w:numPr>
        <w:spacing w:after="0" w:line="240" w:lineRule="auto"/>
        <w:ind w:left="450" w:hanging="450"/>
        <w:jc w:val="both"/>
        <w:rPr>
          <w:rFonts w:ascii="Times New Roman" w:hAnsi="Times New Roman" w:cs="Times New Roman"/>
          <w:i/>
          <w:iCs/>
          <w:sz w:val="24"/>
          <w:szCs w:val="24"/>
        </w:rPr>
      </w:pPr>
      <w:r w:rsidRPr="00314D2E">
        <w:rPr>
          <w:rFonts w:ascii="Times New Roman" w:hAnsi="Times New Roman" w:cs="Times New Roman"/>
          <w:sz w:val="24"/>
        </w:rPr>
        <w:t>создать Группу друзей в рамках системы Организации Объединенных Наций и других глобальных многосторонних платформ с целью взаимодействия с потенциальными партнерами, продвижения инициативы и налаживания партнерских отношений для оказания согласованной и высококачественной технической и финансовой поддержки.</w:t>
      </w:r>
    </w:p>
    <w:p w:rsidR="00F2128B" w:rsidRPr="00314D2E" w:rsidRDefault="00F2128B" w:rsidP="00F2128B">
      <w:pPr>
        <w:pStyle w:val="ListParagraph"/>
        <w:rPr>
          <w:rFonts w:ascii="Times New Roman" w:hAnsi="Times New Roman" w:cs="Times New Roman"/>
          <w:sz w:val="24"/>
          <w:szCs w:val="24"/>
        </w:rPr>
      </w:pPr>
    </w:p>
    <w:p w:rsidR="00F2128B" w:rsidRPr="00314D2E" w:rsidRDefault="00F2128B" w:rsidP="00C4072D">
      <w:pPr>
        <w:pStyle w:val="ListParagraph"/>
        <w:spacing w:after="0"/>
        <w:contextualSpacing w:val="0"/>
        <w:rPr>
          <w:rFonts w:ascii="Times New Roman" w:hAnsi="Times New Roman" w:cs="Times New Roman"/>
          <w:sz w:val="24"/>
          <w:szCs w:val="24"/>
        </w:rPr>
      </w:pPr>
    </w:p>
    <w:p w:rsidR="00F2128B" w:rsidRPr="00314D2E" w:rsidRDefault="004179C7" w:rsidP="00F2128B">
      <w:pPr>
        <w:spacing w:after="0" w:line="240" w:lineRule="auto"/>
        <w:jc w:val="both"/>
        <w:rPr>
          <w:rFonts w:ascii="Times New Roman" w:hAnsi="Times New Roman" w:cs="Times New Roman"/>
          <w:b/>
          <w:bCs/>
          <w:i/>
          <w:iCs/>
          <w:sz w:val="24"/>
          <w:szCs w:val="24"/>
        </w:rPr>
      </w:pPr>
      <w:r w:rsidRPr="00314D2E">
        <w:rPr>
          <w:rFonts w:ascii="Times New Roman" w:hAnsi="Times New Roman" w:cs="Times New Roman"/>
          <w:b/>
          <w:i/>
          <w:sz w:val="24"/>
        </w:rPr>
        <w:t xml:space="preserve">Ожидаемые мероприятия в краткосрочной и среднесрочной перспективе </w:t>
      </w:r>
    </w:p>
    <w:p w:rsidR="004179C7" w:rsidRPr="00314D2E" w:rsidRDefault="0030201F" w:rsidP="0030201F">
      <w:pPr>
        <w:pStyle w:val="ListParagraph"/>
        <w:numPr>
          <w:ilvl w:val="0"/>
          <w:numId w:val="2"/>
        </w:numPr>
        <w:spacing w:before="240" w:after="240" w:line="240" w:lineRule="auto"/>
        <w:ind w:left="446" w:hanging="446"/>
        <w:contextualSpacing w:val="0"/>
        <w:jc w:val="both"/>
        <w:rPr>
          <w:rFonts w:ascii="Times New Roman" w:hAnsi="Times New Roman" w:cs="Times New Roman"/>
          <w:sz w:val="24"/>
          <w:szCs w:val="24"/>
        </w:rPr>
      </w:pPr>
      <w:r w:rsidRPr="00314D2E">
        <w:rPr>
          <w:rFonts w:ascii="Times New Roman" w:hAnsi="Times New Roman" w:cs="Times New Roman"/>
          <w:sz w:val="24"/>
        </w:rPr>
        <w:t xml:space="preserve">Инициировать и разработать </w:t>
      </w:r>
      <w:proofErr w:type="spellStart"/>
      <w:r w:rsidRPr="00314D2E">
        <w:rPr>
          <w:rFonts w:ascii="Times New Roman" w:hAnsi="Times New Roman" w:cs="Times New Roman"/>
          <w:sz w:val="24"/>
        </w:rPr>
        <w:t>низкобюджетный</w:t>
      </w:r>
      <w:proofErr w:type="spellEnd"/>
      <w:r w:rsidRPr="00314D2E">
        <w:rPr>
          <w:rFonts w:ascii="Times New Roman" w:hAnsi="Times New Roman" w:cs="Times New Roman"/>
          <w:sz w:val="24"/>
        </w:rPr>
        <w:t xml:space="preserve"> проект по подготовке отчета об оценке потребностей региона ОЭС для справедливого перехода к </w:t>
      </w:r>
      <w:proofErr w:type="spellStart"/>
      <w:r w:rsidRPr="00314D2E">
        <w:rPr>
          <w:rFonts w:ascii="Times New Roman" w:hAnsi="Times New Roman" w:cs="Times New Roman"/>
          <w:sz w:val="24"/>
        </w:rPr>
        <w:t>ресурсоэффективной</w:t>
      </w:r>
      <w:proofErr w:type="spellEnd"/>
      <w:r w:rsidRPr="00314D2E">
        <w:rPr>
          <w:rFonts w:ascii="Times New Roman" w:hAnsi="Times New Roman" w:cs="Times New Roman"/>
          <w:sz w:val="24"/>
        </w:rPr>
        <w:t xml:space="preserve"> и замкнутой экономике с начальным финансированием со стороны ОЭС, СПЕКА и OT</w:t>
      </w:r>
      <w:proofErr w:type="gramStart"/>
      <w:r w:rsidRPr="00314D2E">
        <w:rPr>
          <w:rFonts w:ascii="Times New Roman" w:hAnsi="Times New Roman" w:cs="Times New Roman"/>
          <w:sz w:val="24"/>
        </w:rPr>
        <w:t>Г</w:t>
      </w:r>
      <w:proofErr w:type="gramEnd"/>
      <w:r w:rsidRPr="00314D2E">
        <w:rPr>
          <w:rFonts w:ascii="Times New Roman" w:hAnsi="Times New Roman" w:cs="Times New Roman"/>
          <w:sz w:val="24"/>
        </w:rPr>
        <w:t xml:space="preserve">.   </w:t>
      </w:r>
    </w:p>
    <w:p w:rsidR="004451B8" w:rsidRPr="00314D2E" w:rsidRDefault="004451B8" w:rsidP="004451B8">
      <w:pPr>
        <w:pStyle w:val="ListParagraph"/>
        <w:numPr>
          <w:ilvl w:val="0"/>
          <w:numId w:val="2"/>
        </w:numPr>
        <w:spacing w:before="240" w:after="0" w:line="240" w:lineRule="auto"/>
        <w:ind w:left="446" w:hanging="446"/>
        <w:contextualSpacing w:val="0"/>
        <w:jc w:val="both"/>
        <w:rPr>
          <w:rFonts w:ascii="Times New Roman" w:hAnsi="Times New Roman" w:cs="Times New Roman"/>
          <w:sz w:val="24"/>
          <w:szCs w:val="24"/>
        </w:rPr>
      </w:pPr>
      <w:r w:rsidRPr="00314D2E">
        <w:rPr>
          <w:rFonts w:ascii="Times New Roman" w:hAnsi="Times New Roman" w:cs="Times New Roman"/>
          <w:sz w:val="24"/>
        </w:rPr>
        <w:t xml:space="preserve">Отразить значимость справедливого перехода к </w:t>
      </w:r>
      <w:proofErr w:type="spellStart"/>
      <w:r w:rsidRPr="00314D2E">
        <w:rPr>
          <w:rFonts w:ascii="Times New Roman" w:hAnsi="Times New Roman" w:cs="Times New Roman"/>
          <w:sz w:val="24"/>
        </w:rPr>
        <w:t>ресурсоэффективной</w:t>
      </w:r>
      <w:proofErr w:type="spellEnd"/>
      <w:r w:rsidRPr="00314D2E">
        <w:rPr>
          <w:rFonts w:ascii="Times New Roman" w:hAnsi="Times New Roman" w:cs="Times New Roman"/>
          <w:sz w:val="24"/>
        </w:rPr>
        <w:t xml:space="preserve"> и замкнутой экономике и более устойчивому управлению природными ресурсами в ключевых итоговых документах предстоящих совещаний политических и директивных органов ОЭС, СПЕКА и ОТГ в 2023 и 2024 годах.</w:t>
      </w:r>
    </w:p>
    <w:p w:rsidR="00523BF1" w:rsidRPr="00314D2E" w:rsidRDefault="004451B8" w:rsidP="004451B8">
      <w:pPr>
        <w:pStyle w:val="ListParagraph"/>
        <w:numPr>
          <w:ilvl w:val="0"/>
          <w:numId w:val="2"/>
        </w:numPr>
        <w:spacing w:before="240" w:after="240" w:line="240" w:lineRule="auto"/>
        <w:ind w:left="446" w:hanging="446"/>
        <w:contextualSpacing w:val="0"/>
        <w:jc w:val="both"/>
        <w:rPr>
          <w:rFonts w:ascii="Times New Roman" w:hAnsi="Times New Roman" w:cs="Times New Roman"/>
          <w:sz w:val="24"/>
          <w:szCs w:val="24"/>
        </w:rPr>
      </w:pPr>
      <w:r w:rsidRPr="00314D2E">
        <w:rPr>
          <w:rFonts w:ascii="Times New Roman" w:hAnsi="Times New Roman" w:cs="Times New Roman"/>
          <w:sz w:val="24"/>
        </w:rPr>
        <w:t xml:space="preserve">Одобрить Концептуальный документ RESCUE в качестве рабочего документа на следующем заседании Совета министров ОЭС, которое состоится 9 октября 2023 года в Шуше, Азербайджанская Республика, что продемонстрирует солидарность и общую позицию государств - членов ОЭС относительно важности темы. </w:t>
      </w:r>
    </w:p>
    <w:p w:rsidR="003D102D" w:rsidRPr="00314D2E" w:rsidRDefault="003D102D" w:rsidP="003D102D">
      <w:pPr>
        <w:pStyle w:val="ListParagraph"/>
        <w:numPr>
          <w:ilvl w:val="0"/>
          <w:numId w:val="2"/>
        </w:numPr>
        <w:spacing w:after="0" w:line="240" w:lineRule="auto"/>
        <w:ind w:left="450" w:hanging="450"/>
        <w:jc w:val="both"/>
        <w:rPr>
          <w:rFonts w:ascii="Times New Roman" w:hAnsi="Times New Roman" w:cs="Times New Roman"/>
          <w:sz w:val="24"/>
          <w:szCs w:val="24"/>
        </w:rPr>
      </w:pPr>
      <w:r w:rsidRPr="00314D2E">
        <w:rPr>
          <w:rFonts w:ascii="Times New Roman" w:hAnsi="Times New Roman" w:cs="Times New Roman"/>
          <w:sz w:val="24"/>
        </w:rPr>
        <w:t>Созвать неофициальное совещание на уровне министров, посвященное справедливому переходу к ресурсосберегающей экономике замкнутого цикла, в ходе COP28 РКИК ООН (30 ноября - 12 декабря 2023 г.), которое может быть совместно организовано ОЭС, ООН и ОТГ.</w:t>
      </w:r>
    </w:p>
    <w:p w:rsidR="004451B8" w:rsidRPr="00314D2E" w:rsidRDefault="00523BF1" w:rsidP="004451B8">
      <w:pPr>
        <w:pStyle w:val="ListParagraph"/>
        <w:numPr>
          <w:ilvl w:val="0"/>
          <w:numId w:val="2"/>
        </w:numPr>
        <w:spacing w:before="240" w:after="240" w:line="240" w:lineRule="auto"/>
        <w:ind w:left="446" w:hanging="446"/>
        <w:contextualSpacing w:val="0"/>
        <w:jc w:val="both"/>
        <w:rPr>
          <w:rFonts w:ascii="Times New Roman" w:hAnsi="Times New Roman" w:cs="Times New Roman"/>
          <w:sz w:val="24"/>
          <w:szCs w:val="24"/>
        </w:rPr>
      </w:pPr>
      <w:r w:rsidRPr="00314D2E">
        <w:rPr>
          <w:rFonts w:ascii="Times New Roman" w:hAnsi="Times New Roman" w:cs="Times New Roman"/>
          <w:sz w:val="24"/>
        </w:rPr>
        <w:t xml:space="preserve">Развивать тему постепенного справедливого перехода к ресурсосберегающей экономике замкнутого цикла в рамках различных важных международных мероприятий, которые будут организованы в государствах - членах ОЭС в течение 2023 и 2024 годов в виде специальных сессий, дискуссионных панелей, параллельных мероприятий и т.д. Более того, рассмотреть предстоящие основные глобальные мероприятия (такие как </w:t>
      </w:r>
      <w:proofErr w:type="spellStart"/>
      <w:r w:rsidRPr="00314D2E">
        <w:rPr>
          <w:rFonts w:ascii="Times New Roman" w:hAnsi="Times New Roman" w:cs="Times New Roman"/>
          <w:sz w:val="24"/>
        </w:rPr>
        <w:t>Давосский</w:t>
      </w:r>
      <w:proofErr w:type="spellEnd"/>
      <w:r w:rsidRPr="00314D2E">
        <w:rPr>
          <w:rFonts w:ascii="Times New Roman" w:hAnsi="Times New Roman" w:cs="Times New Roman"/>
          <w:sz w:val="24"/>
        </w:rPr>
        <w:t xml:space="preserve"> форум, Ассамблея IRENA, Генеральная ассамблея ООН и т.д.) для продвижения этой инициативы.</w:t>
      </w:r>
    </w:p>
    <w:p w:rsidR="00C62BB6" w:rsidRPr="00314D2E" w:rsidRDefault="00C62BB6" w:rsidP="00691668">
      <w:pPr>
        <w:pStyle w:val="ListParagraph"/>
        <w:numPr>
          <w:ilvl w:val="0"/>
          <w:numId w:val="2"/>
        </w:numPr>
        <w:spacing w:before="240" w:after="0" w:line="240" w:lineRule="auto"/>
        <w:ind w:left="446" w:hanging="446"/>
        <w:contextualSpacing w:val="0"/>
        <w:jc w:val="both"/>
        <w:rPr>
          <w:rFonts w:ascii="Times New Roman" w:hAnsi="Times New Roman" w:cs="Times New Roman"/>
          <w:sz w:val="24"/>
          <w:szCs w:val="24"/>
        </w:rPr>
      </w:pPr>
      <w:r w:rsidRPr="00314D2E">
        <w:rPr>
          <w:rFonts w:ascii="Times New Roman" w:hAnsi="Times New Roman" w:cs="Times New Roman"/>
          <w:sz w:val="24"/>
        </w:rPr>
        <w:t>Руководствуясь Проектом по подготовке отчета об оценке потребностей (</w:t>
      </w:r>
      <w:proofErr w:type="gramStart"/>
      <w:r w:rsidRPr="00314D2E">
        <w:rPr>
          <w:rFonts w:ascii="Times New Roman" w:hAnsi="Times New Roman" w:cs="Times New Roman"/>
          <w:sz w:val="24"/>
        </w:rPr>
        <w:t>см</w:t>
      </w:r>
      <w:proofErr w:type="gramEnd"/>
      <w:r w:rsidRPr="00314D2E">
        <w:rPr>
          <w:rFonts w:ascii="Times New Roman" w:hAnsi="Times New Roman" w:cs="Times New Roman"/>
          <w:sz w:val="24"/>
        </w:rPr>
        <w:t>. выше “Ожидаемое мероприятие” 1), изучить возможности создания следующего механизма управления для регулярного руководства и мониторинга требуемых мероприятий.</w:t>
      </w:r>
    </w:p>
    <w:p w:rsidR="00C62BB6" w:rsidRPr="00314D2E" w:rsidRDefault="00C62BB6" w:rsidP="00C62BB6">
      <w:pPr>
        <w:pStyle w:val="ListParagraph"/>
        <w:spacing w:after="0" w:line="240" w:lineRule="auto"/>
        <w:ind w:left="450"/>
        <w:jc w:val="both"/>
        <w:rPr>
          <w:rFonts w:ascii="Times New Roman" w:hAnsi="Times New Roman" w:cs="Times New Roman"/>
          <w:sz w:val="24"/>
          <w:szCs w:val="24"/>
        </w:rPr>
      </w:pPr>
    </w:p>
    <w:p w:rsidR="00C62BB6" w:rsidRPr="00314D2E" w:rsidRDefault="00C62BB6" w:rsidP="00C62BB6">
      <w:pPr>
        <w:pStyle w:val="ListParagraph"/>
        <w:spacing w:after="0" w:line="240" w:lineRule="auto"/>
        <w:ind w:left="450"/>
        <w:jc w:val="both"/>
        <w:rPr>
          <w:rFonts w:ascii="Times New Roman" w:hAnsi="Times New Roman" w:cs="Times New Roman"/>
          <w:sz w:val="24"/>
          <w:szCs w:val="24"/>
        </w:rPr>
      </w:pPr>
    </w:p>
    <w:p w:rsidR="00F2128B" w:rsidRPr="00314D2E" w:rsidRDefault="00C2411D" w:rsidP="00F2128B">
      <w:pPr>
        <w:spacing w:after="0" w:line="240" w:lineRule="auto"/>
        <w:jc w:val="both"/>
        <w:rPr>
          <w:rFonts w:ascii="Times New Roman" w:hAnsi="Times New Roman" w:cs="Times New Roman"/>
          <w:b/>
          <w:bCs/>
          <w:i/>
          <w:iCs/>
          <w:sz w:val="24"/>
          <w:szCs w:val="24"/>
        </w:rPr>
      </w:pPr>
      <w:r w:rsidRPr="00314D2E">
        <w:rPr>
          <w:rFonts w:ascii="Times New Roman" w:hAnsi="Times New Roman" w:cs="Times New Roman"/>
          <w:b/>
          <w:i/>
          <w:sz w:val="24"/>
        </w:rPr>
        <w:t>Возможный механизм управления и реализации</w:t>
      </w:r>
    </w:p>
    <w:p w:rsidR="00F2128B" w:rsidRPr="00314D2E" w:rsidRDefault="00F2128B" w:rsidP="00F2128B">
      <w:pPr>
        <w:spacing w:after="0" w:line="240" w:lineRule="auto"/>
        <w:jc w:val="both"/>
        <w:rPr>
          <w:rFonts w:ascii="Times New Roman" w:hAnsi="Times New Roman" w:cs="Times New Roman"/>
          <w:b/>
          <w:bCs/>
          <w:sz w:val="24"/>
          <w:szCs w:val="24"/>
        </w:rPr>
      </w:pPr>
    </w:p>
    <w:p w:rsidR="00D92487" w:rsidRPr="00314D2E" w:rsidRDefault="00C4072D" w:rsidP="00F2128B">
      <w:pPr>
        <w:spacing w:after="0" w:line="240" w:lineRule="auto"/>
        <w:jc w:val="both"/>
        <w:rPr>
          <w:rFonts w:ascii="Times New Roman" w:hAnsi="Times New Roman" w:cs="Times New Roman"/>
          <w:b/>
          <w:bCs/>
          <w:i/>
          <w:iCs/>
          <w:sz w:val="24"/>
          <w:szCs w:val="24"/>
        </w:rPr>
      </w:pPr>
      <w:r w:rsidRPr="00314D2E">
        <w:rPr>
          <w:rFonts w:ascii="Times New Roman" w:hAnsi="Times New Roman" w:cs="Times New Roman"/>
          <w:sz w:val="24"/>
        </w:rPr>
        <w:t xml:space="preserve">Консультативный комитет/Специальная целевая группа может быть создана с целью руководства и мониторинга достижения соответствующих целей инициативы. Он может выступать в качестве наблюдательного органа и включать по одному представителю от каждого государства-члена, назначенного соответствующими правительствами, а также представителей Секретариата ОЭС, СПЕКА и Секретариата ОТГ, делегированных их руководством. Этот механизм может созывать свои совещания раз в два года или в случае необходимости. Между тем секретариат ОЭС может быть уполномочен выполнять обязанности по координации деятельности в рамках RESCUE на ежедневной основе.   </w:t>
      </w:r>
      <w:r w:rsidRPr="00314D2E">
        <w:rPr>
          <w:rFonts w:ascii="Times New Roman" w:hAnsi="Times New Roman" w:cs="Times New Roman"/>
          <w:b/>
          <w:i/>
          <w:sz w:val="24"/>
        </w:rPr>
        <w:t xml:space="preserve">  </w:t>
      </w:r>
    </w:p>
    <w:p w:rsidR="00D92487" w:rsidRPr="00314D2E" w:rsidRDefault="00D92487" w:rsidP="001763DE">
      <w:pPr>
        <w:spacing w:after="0" w:line="240" w:lineRule="auto"/>
        <w:jc w:val="both"/>
        <w:rPr>
          <w:rFonts w:ascii="Times New Roman" w:hAnsi="Times New Roman" w:cs="Times New Roman"/>
          <w:b/>
          <w:bCs/>
          <w:i/>
          <w:iCs/>
          <w:sz w:val="24"/>
          <w:szCs w:val="24"/>
        </w:rPr>
      </w:pPr>
    </w:p>
    <w:p w:rsidR="00D92487" w:rsidRPr="00314D2E" w:rsidRDefault="00D92487" w:rsidP="001763DE">
      <w:pPr>
        <w:spacing w:after="0" w:line="240" w:lineRule="auto"/>
        <w:jc w:val="both"/>
        <w:rPr>
          <w:rFonts w:ascii="Times New Roman" w:hAnsi="Times New Roman" w:cs="Times New Roman"/>
          <w:b/>
          <w:bCs/>
          <w:sz w:val="24"/>
          <w:szCs w:val="24"/>
        </w:rPr>
      </w:pPr>
    </w:p>
    <w:sectPr w:rsidR="00D92487" w:rsidRPr="00314D2E" w:rsidSect="00C2411D">
      <w:headerReference w:type="default" r:id="rId7"/>
      <w:footerReference w:type="default" r:id="rId8"/>
      <w:headerReference w:type="first" r:id="rId9"/>
      <w:pgSz w:w="12240" w:h="15840"/>
      <w:pgMar w:top="1440" w:right="1440" w:bottom="108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A7" w:rsidRDefault="008B20A7" w:rsidP="00D57650">
      <w:pPr>
        <w:spacing w:after="0" w:line="240" w:lineRule="auto"/>
      </w:pPr>
      <w:r>
        <w:separator/>
      </w:r>
    </w:p>
  </w:endnote>
  <w:endnote w:type="continuationSeparator" w:id="0">
    <w:p w:rsidR="008B20A7" w:rsidRDefault="008B20A7" w:rsidP="00D57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862622"/>
      <w:docPartObj>
        <w:docPartGallery w:val="Page Numbers (Bottom of Page)"/>
        <w:docPartUnique/>
      </w:docPartObj>
    </w:sdtPr>
    <w:sdtEndPr>
      <w:rPr>
        <w:noProof/>
      </w:rPr>
    </w:sdtEndPr>
    <w:sdtContent>
      <w:p w:rsidR="00D57650" w:rsidRDefault="00133CD8">
        <w:pPr>
          <w:pStyle w:val="Footer"/>
          <w:jc w:val="right"/>
        </w:pPr>
        <w:r>
          <w:fldChar w:fldCharType="begin"/>
        </w:r>
        <w:r w:rsidR="00D57650">
          <w:instrText xml:space="preserve"> PAGE   \* MERGEFORMAT </w:instrText>
        </w:r>
        <w:r>
          <w:fldChar w:fldCharType="separate"/>
        </w:r>
        <w:r w:rsidR="00314D2E">
          <w:rPr>
            <w:noProof/>
          </w:rPr>
          <w:t>5</w:t>
        </w:r>
        <w:r>
          <w:fldChar w:fldCharType="end"/>
        </w:r>
      </w:p>
    </w:sdtContent>
  </w:sdt>
  <w:p w:rsidR="00D57650" w:rsidRDefault="00D57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A7" w:rsidRDefault="008B20A7" w:rsidP="00D57650">
      <w:pPr>
        <w:spacing w:after="0" w:line="240" w:lineRule="auto"/>
      </w:pPr>
      <w:r>
        <w:separator/>
      </w:r>
    </w:p>
  </w:footnote>
  <w:footnote w:type="continuationSeparator" w:id="0">
    <w:p w:rsidR="008B20A7" w:rsidRDefault="008B20A7" w:rsidP="00D57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BD" w:rsidRPr="002F7EBD" w:rsidRDefault="002F7EBD" w:rsidP="002F7EBD">
    <w:pPr>
      <w:pStyle w:val="Header"/>
      <w:jc w:val="right"/>
      <w:rPr>
        <w:rFonts w:ascii="Arial" w:hAnsi="Arial" w:cs="Arial"/>
        <w:i/>
        <w:iCs/>
        <w:sz w:val="18"/>
        <w:szCs w:val="18"/>
      </w:rPr>
    </w:pPr>
  </w:p>
  <w:p w:rsidR="002F7EBD" w:rsidRDefault="002F7E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66" w:rsidRDefault="00AA4566" w:rsidP="002F7EBD">
    <w:pPr>
      <w:pStyle w:val="Header"/>
      <w:jc w:val="right"/>
      <w:rPr>
        <w:rFonts w:ascii="Arial" w:hAnsi="Arial" w:cs="Arial"/>
        <w:i/>
        <w:iCs/>
        <w:sz w:val="18"/>
        <w:szCs w:val="18"/>
      </w:rPr>
    </w:pPr>
    <w:r>
      <w:rPr>
        <w:rFonts w:ascii="Arial" w:hAnsi="Arial"/>
        <w:i/>
        <w:sz w:val="18"/>
      </w:rPr>
      <w:t xml:space="preserve">Ориентировочный документ </w:t>
    </w:r>
  </w:p>
  <w:p w:rsidR="002F7EBD" w:rsidRPr="002F7EBD" w:rsidRDefault="00AA4566" w:rsidP="002F7EBD">
    <w:pPr>
      <w:pStyle w:val="Header"/>
      <w:jc w:val="right"/>
      <w:rPr>
        <w:rFonts w:ascii="Arial" w:hAnsi="Arial" w:cs="Arial"/>
        <w:i/>
        <w:iCs/>
        <w:sz w:val="18"/>
        <w:szCs w:val="18"/>
      </w:rPr>
    </w:pPr>
    <w:r>
      <w:rPr>
        <w:rFonts w:ascii="Arial" w:hAnsi="Arial"/>
        <w:i/>
        <w:sz w:val="18"/>
      </w:rPr>
      <w:t>По состоянию на 03.10.2023 г.</w:t>
    </w:r>
  </w:p>
  <w:p w:rsidR="002F7EBD" w:rsidRDefault="002F7E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70EBE"/>
    <w:multiLevelType w:val="hybridMultilevel"/>
    <w:tmpl w:val="A4C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F28E9"/>
    <w:multiLevelType w:val="hybridMultilevel"/>
    <w:tmpl w:val="E43C750A"/>
    <w:lvl w:ilvl="0" w:tplc="68A025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6109"/>
    <w:rsid w:val="00037B4A"/>
    <w:rsid w:val="00042C66"/>
    <w:rsid w:val="0006156A"/>
    <w:rsid w:val="000A692A"/>
    <w:rsid w:val="00133CD8"/>
    <w:rsid w:val="00154D49"/>
    <w:rsid w:val="00163D1D"/>
    <w:rsid w:val="001763DE"/>
    <w:rsid w:val="001B5080"/>
    <w:rsid w:val="001C27CD"/>
    <w:rsid w:val="001D2B13"/>
    <w:rsid w:val="001E6ADB"/>
    <w:rsid w:val="00230EA7"/>
    <w:rsid w:val="00264418"/>
    <w:rsid w:val="002F7EBD"/>
    <w:rsid w:val="0030201F"/>
    <w:rsid w:val="00314D2E"/>
    <w:rsid w:val="00364D16"/>
    <w:rsid w:val="00365D7E"/>
    <w:rsid w:val="00386109"/>
    <w:rsid w:val="00397AF3"/>
    <w:rsid w:val="003D102D"/>
    <w:rsid w:val="004179C7"/>
    <w:rsid w:val="004451B8"/>
    <w:rsid w:val="00484522"/>
    <w:rsid w:val="004961D6"/>
    <w:rsid w:val="00496D99"/>
    <w:rsid w:val="004A71B6"/>
    <w:rsid w:val="004F5C70"/>
    <w:rsid w:val="004F72AA"/>
    <w:rsid w:val="005008CF"/>
    <w:rsid w:val="00523BF1"/>
    <w:rsid w:val="00524B49"/>
    <w:rsid w:val="005655AA"/>
    <w:rsid w:val="005969B6"/>
    <w:rsid w:val="005C5522"/>
    <w:rsid w:val="00607965"/>
    <w:rsid w:val="00616E37"/>
    <w:rsid w:val="0063744E"/>
    <w:rsid w:val="0066423F"/>
    <w:rsid w:val="00691668"/>
    <w:rsid w:val="00701B8C"/>
    <w:rsid w:val="00763B3A"/>
    <w:rsid w:val="00776E6C"/>
    <w:rsid w:val="0079118A"/>
    <w:rsid w:val="007F5F4C"/>
    <w:rsid w:val="007F6D1E"/>
    <w:rsid w:val="008323BD"/>
    <w:rsid w:val="00852CAB"/>
    <w:rsid w:val="008631DA"/>
    <w:rsid w:val="008A53AB"/>
    <w:rsid w:val="008B20A7"/>
    <w:rsid w:val="008B433A"/>
    <w:rsid w:val="008C2072"/>
    <w:rsid w:val="008E3585"/>
    <w:rsid w:val="00917144"/>
    <w:rsid w:val="009217C3"/>
    <w:rsid w:val="00935779"/>
    <w:rsid w:val="00965E97"/>
    <w:rsid w:val="009754B4"/>
    <w:rsid w:val="009948AD"/>
    <w:rsid w:val="009A1DC1"/>
    <w:rsid w:val="00A54FDF"/>
    <w:rsid w:val="00A73542"/>
    <w:rsid w:val="00AA4566"/>
    <w:rsid w:val="00AE1E5D"/>
    <w:rsid w:val="00B00526"/>
    <w:rsid w:val="00B76B2B"/>
    <w:rsid w:val="00BC4CB7"/>
    <w:rsid w:val="00C2411D"/>
    <w:rsid w:val="00C32390"/>
    <w:rsid w:val="00C4072D"/>
    <w:rsid w:val="00C62BB6"/>
    <w:rsid w:val="00CC7A59"/>
    <w:rsid w:val="00D16536"/>
    <w:rsid w:val="00D22A40"/>
    <w:rsid w:val="00D57650"/>
    <w:rsid w:val="00D73014"/>
    <w:rsid w:val="00D75331"/>
    <w:rsid w:val="00D91EAA"/>
    <w:rsid w:val="00D92487"/>
    <w:rsid w:val="00DB11C7"/>
    <w:rsid w:val="00DC20E1"/>
    <w:rsid w:val="00DE05F9"/>
    <w:rsid w:val="00DF29E4"/>
    <w:rsid w:val="00DF3279"/>
    <w:rsid w:val="00DF6A47"/>
    <w:rsid w:val="00E240A7"/>
    <w:rsid w:val="00E441B0"/>
    <w:rsid w:val="00E45B49"/>
    <w:rsid w:val="00E521ED"/>
    <w:rsid w:val="00F2128B"/>
    <w:rsid w:val="00F21605"/>
    <w:rsid w:val="00F336BD"/>
    <w:rsid w:val="00F457BA"/>
    <w:rsid w:val="00F522BB"/>
    <w:rsid w:val="00FE6DA9"/>
    <w:rsid w:val="00FF584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59"/>
    <w:pPr>
      <w:ind w:left="720"/>
      <w:contextualSpacing/>
    </w:pPr>
  </w:style>
  <w:style w:type="paragraph" w:styleId="Header">
    <w:name w:val="header"/>
    <w:basedOn w:val="Normal"/>
    <w:link w:val="HeaderChar"/>
    <w:uiPriority w:val="99"/>
    <w:unhideWhenUsed/>
    <w:rsid w:val="00D57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650"/>
  </w:style>
  <w:style w:type="paragraph" w:styleId="Footer">
    <w:name w:val="footer"/>
    <w:basedOn w:val="Normal"/>
    <w:link w:val="FooterChar"/>
    <w:uiPriority w:val="99"/>
    <w:unhideWhenUsed/>
    <w:rsid w:val="00D57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6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FUAD-FF</dc:creator>
  <cp:lastModifiedBy>Interpreter1Ru</cp:lastModifiedBy>
  <cp:revision>5</cp:revision>
  <dcterms:created xsi:type="dcterms:W3CDTF">2023-10-05T05:17:00Z</dcterms:created>
  <dcterms:modified xsi:type="dcterms:W3CDTF">2023-10-16T09:58:00Z</dcterms:modified>
</cp:coreProperties>
</file>