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DC" w:rsidRDefault="004C0FDC" w:rsidP="00267120">
      <w:pPr>
        <w:jc w:val="center"/>
        <w:rPr>
          <w:rFonts w:ascii="Book Antiqua" w:hAnsi="Book Antiqua"/>
          <w:b/>
          <w:bCs/>
          <w:sz w:val="24"/>
          <w:szCs w:val="24"/>
        </w:rPr>
      </w:pPr>
    </w:p>
    <w:p w:rsidR="00267120" w:rsidRPr="00267120" w:rsidRDefault="00267120" w:rsidP="00267120">
      <w:pPr>
        <w:jc w:val="center"/>
        <w:rPr>
          <w:rFonts w:ascii="Book Antiqua" w:hAnsi="Book Antiqua"/>
          <w:b/>
          <w:bCs/>
          <w:sz w:val="24"/>
          <w:szCs w:val="24"/>
        </w:rPr>
      </w:pPr>
      <w:r w:rsidRPr="00267120">
        <w:rPr>
          <w:rFonts w:ascii="Book Antiqua" w:hAnsi="Book Antiqua"/>
          <w:b/>
          <w:bCs/>
          <w:sz w:val="24"/>
          <w:szCs w:val="24"/>
        </w:rPr>
        <w:t>ECO Cooperation Framework on the Environment (2026-2030)</w:t>
      </w:r>
    </w:p>
    <w:p w:rsidR="00267120" w:rsidRPr="00267120" w:rsidRDefault="00267120" w:rsidP="00267120">
      <w:pPr>
        <w:jc w:val="both"/>
        <w:rPr>
          <w:rFonts w:ascii="Book Antiqua" w:hAnsi="Book Antiqua"/>
          <w:sz w:val="24"/>
          <w:szCs w:val="24"/>
        </w:rPr>
      </w:pPr>
    </w:p>
    <w:p w:rsidR="001F0AD1" w:rsidRDefault="00267120" w:rsidP="00267120">
      <w:pPr>
        <w:jc w:val="both"/>
        <w:rPr>
          <w:rFonts w:ascii="Book Antiqua" w:hAnsi="Book Antiqua"/>
          <w:b/>
          <w:bCs/>
          <w:sz w:val="24"/>
          <w:szCs w:val="24"/>
        </w:rPr>
      </w:pPr>
      <w:r w:rsidRPr="00267120">
        <w:rPr>
          <w:rFonts w:ascii="Book Antiqua" w:hAnsi="Book Antiqua"/>
          <w:b/>
          <w:bCs/>
          <w:sz w:val="24"/>
          <w:szCs w:val="24"/>
        </w:rPr>
        <w:t>Preamble</w:t>
      </w:r>
    </w:p>
    <w:p w:rsidR="00267120" w:rsidRPr="00267120" w:rsidRDefault="00267120" w:rsidP="00267120">
      <w:pPr>
        <w:jc w:val="both"/>
        <w:rPr>
          <w:rFonts w:ascii="Book Antiqua" w:hAnsi="Book Antiqua"/>
          <w:sz w:val="24"/>
          <w:szCs w:val="24"/>
        </w:rPr>
      </w:pPr>
      <w:r w:rsidRPr="00267120">
        <w:rPr>
          <w:rFonts w:ascii="Book Antiqua" w:hAnsi="Book Antiqua"/>
          <w:sz w:val="24"/>
          <w:szCs w:val="24"/>
        </w:rPr>
        <w:t>The Members of the Economic Cooperation Organization (ECO):</w:t>
      </w:r>
    </w:p>
    <w:p w:rsidR="00267120" w:rsidRPr="00267120" w:rsidRDefault="00267120" w:rsidP="00267120">
      <w:pPr>
        <w:jc w:val="both"/>
        <w:rPr>
          <w:rFonts w:ascii="Book Antiqua" w:hAnsi="Book Antiqua"/>
          <w:sz w:val="24"/>
          <w:szCs w:val="24"/>
        </w:rPr>
      </w:pPr>
      <w:r w:rsidRPr="00BB4FF2">
        <w:rPr>
          <w:rFonts w:ascii="Book Antiqua" w:hAnsi="Book Antiqua"/>
          <w:b/>
          <w:bCs/>
          <w:sz w:val="24"/>
          <w:szCs w:val="24"/>
        </w:rPr>
        <w:t>Acknowledging</w:t>
      </w:r>
      <w:r w:rsidRPr="00267120">
        <w:rPr>
          <w:rFonts w:ascii="Book Antiqua" w:hAnsi="Book Antiqua"/>
          <w:sz w:val="24"/>
          <w:szCs w:val="24"/>
        </w:rPr>
        <w:t xml:space="preserve"> the vital role of a healthy environment for life on Earth, human well-being, and sustainable economic development; and </w:t>
      </w:r>
      <w:r w:rsidRPr="00BB4FF2">
        <w:rPr>
          <w:rFonts w:ascii="Book Antiqua" w:hAnsi="Book Antiqua"/>
          <w:b/>
          <w:bCs/>
          <w:sz w:val="24"/>
          <w:szCs w:val="24"/>
        </w:rPr>
        <w:t>Deeply Concerned</w:t>
      </w:r>
      <w:r w:rsidRPr="00267120">
        <w:rPr>
          <w:rFonts w:ascii="Book Antiqua" w:hAnsi="Book Antiqua"/>
          <w:sz w:val="24"/>
          <w:szCs w:val="24"/>
        </w:rPr>
        <w:t xml:space="preserve"> that human activities in the ECO Region have raised serious environmental challenges, making conservation and sustainable management a core regional priority;</w:t>
      </w:r>
    </w:p>
    <w:p w:rsidR="00267120" w:rsidRDefault="00267120" w:rsidP="00267120">
      <w:pPr>
        <w:jc w:val="both"/>
        <w:rPr>
          <w:rFonts w:ascii="Book Antiqua" w:hAnsi="Book Antiqua"/>
          <w:sz w:val="24"/>
          <w:szCs w:val="24"/>
        </w:rPr>
      </w:pPr>
      <w:r w:rsidRPr="00BB4FF2">
        <w:rPr>
          <w:rFonts w:ascii="Book Antiqua" w:hAnsi="Book Antiqua"/>
          <w:b/>
          <w:bCs/>
          <w:sz w:val="24"/>
          <w:szCs w:val="24"/>
        </w:rPr>
        <w:t>Recognizing</w:t>
      </w:r>
      <w:r w:rsidR="00BB4FF2">
        <w:rPr>
          <w:rFonts w:ascii="Book Antiqua" w:hAnsi="Book Antiqua"/>
          <w:sz w:val="24"/>
          <w:szCs w:val="24"/>
        </w:rPr>
        <w:t xml:space="preserve"> the critical importance of b</w:t>
      </w:r>
      <w:r w:rsidRPr="00267120">
        <w:rPr>
          <w:rFonts w:ascii="Book Antiqua" w:hAnsi="Book Antiqua"/>
          <w:sz w:val="24"/>
          <w:szCs w:val="24"/>
        </w:rPr>
        <w:t xml:space="preserve">iodiversity for sustaining all life on Earth, and </w:t>
      </w:r>
      <w:r w:rsidRPr="00BB4FF2">
        <w:rPr>
          <w:rFonts w:ascii="Book Antiqua" w:hAnsi="Book Antiqua"/>
          <w:b/>
          <w:bCs/>
          <w:sz w:val="24"/>
          <w:szCs w:val="24"/>
        </w:rPr>
        <w:t>Committed</w:t>
      </w:r>
      <w:r w:rsidRPr="00EE6A2A">
        <w:rPr>
          <w:rFonts w:ascii="Book Antiqua" w:hAnsi="Book Antiqua"/>
          <w:b/>
          <w:bCs/>
          <w:sz w:val="24"/>
          <w:szCs w:val="24"/>
        </w:rPr>
        <w:t xml:space="preserve"> to</w:t>
      </w:r>
      <w:r w:rsidRPr="00267120">
        <w:rPr>
          <w:rFonts w:ascii="Book Antiqua" w:hAnsi="Book Antiqua"/>
          <w:sz w:val="24"/>
          <w:szCs w:val="24"/>
        </w:rPr>
        <w:t xml:space="preserve"> contributing to the Kunming-Montreal Global Biodiversity Framework's goal of "living in harmony with nature by 2050";</w:t>
      </w:r>
    </w:p>
    <w:p w:rsidR="00267120" w:rsidRDefault="00267120" w:rsidP="00267120">
      <w:pPr>
        <w:jc w:val="both"/>
        <w:rPr>
          <w:rFonts w:ascii="Book Antiqua" w:hAnsi="Book Antiqua"/>
          <w:sz w:val="24"/>
          <w:szCs w:val="24"/>
        </w:rPr>
      </w:pPr>
      <w:r w:rsidRPr="00BB4FF2">
        <w:rPr>
          <w:rFonts w:ascii="Book Antiqua" w:hAnsi="Book Antiqua"/>
          <w:b/>
          <w:bCs/>
          <w:sz w:val="24"/>
          <w:szCs w:val="24"/>
        </w:rPr>
        <w:t>Emphasizing</w:t>
      </w:r>
      <w:r w:rsidRPr="00267120">
        <w:rPr>
          <w:rFonts w:ascii="Book Antiqua" w:hAnsi="Book Antiqua"/>
          <w:sz w:val="24"/>
          <w:szCs w:val="24"/>
        </w:rPr>
        <w:t xml:space="preserve"> the urgency of fostering sustainable, resilient, and inclusive development to address the climate change crisis, in line with the objectives of the Paris Agreement under the UNFCCC;</w:t>
      </w:r>
    </w:p>
    <w:p w:rsidR="00267120" w:rsidRDefault="00267120" w:rsidP="00267120">
      <w:pPr>
        <w:jc w:val="both"/>
        <w:rPr>
          <w:rFonts w:ascii="Book Antiqua" w:hAnsi="Book Antiqua"/>
          <w:sz w:val="24"/>
          <w:szCs w:val="24"/>
        </w:rPr>
      </w:pPr>
      <w:r w:rsidRPr="00BB4FF2">
        <w:rPr>
          <w:rFonts w:ascii="Book Antiqua" w:hAnsi="Book Antiqua"/>
          <w:b/>
          <w:bCs/>
          <w:sz w:val="24"/>
          <w:szCs w:val="24"/>
        </w:rPr>
        <w:t>Alarmed</w:t>
      </w:r>
      <w:r w:rsidRPr="00267120">
        <w:rPr>
          <w:rFonts w:ascii="Book Antiqua" w:hAnsi="Book Antiqua"/>
          <w:sz w:val="24"/>
          <w:szCs w:val="24"/>
        </w:rPr>
        <w:t xml:space="preserve"> by the increasing frequency and severity of extreme weather events, which exacerbate desertification, land degradation, and food insecurity in our often arid and vulnerable region, and Guided by the findings of the UNCCD Global Land Outlook (2022);</w:t>
      </w:r>
    </w:p>
    <w:p w:rsidR="00267120" w:rsidRDefault="00267120" w:rsidP="00267120">
      <w:pPr>
        <w:jc w:val="both"/>
        <w:rPr>
          <w:rFonts w:ascii="Book Antiqua" w:hAnsi="Book Antiqua"/>
          <w:sz w:val="24"/>
          <w:szCs w:val="24"/>
        </w:rPr>
      </w:pPr>
      <w:r w:rsidRPr="00EE6A2A">
        <w:rPr>
          <w:rFonts w:ascii="Book Antiqua" w:hAnsi="Book Antiqua"/>
          <w:b/>
          <w:bCs/>
          <w:sz w:val="24"/>
          <w:szCs w:val="24"/>
        </w:rPr>
        <w:t>Inspired</w:t>
      </w:r>
      <w:r w:rsidRPr="00267120">
        <w:rPr>
          <w:rFonts w:ascii="Book Antiqua" w:hAnsi="Book Antiqua"/>
          <w:sz w:val="24"/>
          <w:szCs w:val="24"/>
        </w:rPr>
        <w:t xml:space="preserve"> by the ECO Vision 2025 objective to “increase the standard of living, quality of life, economic welfare and well-being of our people” through environmental preservation, which requires concerted action to tackle </w:t>
      </w:r>
      <w:proofErr w:type="spellStart"/>
      <w:r w:rsidRPr="00267120">
        <w:rPr>
          <w:rFonts w:ascii="Book Antiqua" w:hAnsi="Book Antiqua"/>
          <w:sz w:val="24"/>
          <w:szCs w:val="24"/>
        </w:rPr>
        <w:t>transboundary</w:t>
      </w:r>
      <w:proofErr w:type="spellEnd"/>
      <w:r w:rsidRPr="00267120">
        <w:rPr>
          <w:rFonts w:ascii="Book Antiqua" w:hAnsi="Book Antiqua"/>
          <w:sz w:val="24"/>
          <w:szCs w:val="24"/>
        </w:rPr>
        <w:t xml:space="preserve"> challenges;</w:t>
      </w:r>
    </w:p>
    <w:p w:rsidR="00267120" w:rsidRDefault="00267120" w:rsidP="00267120">
      <w:pPr>
        <w:jc w:val="both"/>
        <w:rPr>
          <w:rFonts w:ascii="Book Antiqua" w:hAnsi="Book Antiqua"/>
          <w:sz w:val="24"/>
          <w:szCs w:val="24"/>
        </w:rPr>
      </w:pPr>
      <w:r w:rsidRPr="00EE6A2A">
        <w:rPr>
          <w:rFonts w:ascii="Book Antiqua" w:hAnsi="Book Antiqua"/>
          <w:b/>
          <w:bCs/>
          <w:sz w:val="24"/>
          <w:szCs w:val="24"/>
        </w:rPr>
        <w:t>Embracing</w:t>
      </w:r>
      <w:r w:rsidRPr="00267120">
        <w:rPr>
          <w:rFonts w:ascii="Book Antiqua" w:hAnsi="Book Antiqua"/>
          <w:sz w:val="24"/>
          <w:szCs w:val="24"/>
        </w:rPr>
        <w:t xml:space="preserve"> the Nexus concept to manage the critical </w:t>
      </w:r>
      <w:proofErr w:type="spellStart"/>
      <w:r w:rsidRPr="00267120">
        <w:rPr>
          <w:rFonts w:ascii="Book Antiqua" w:hAnsi="Book Antiqua"/>
          <w:sz w:val="24"/>
          <w:szCs w:val="24"/>
        </w:rPr>
        <w:t>interlinkages</w:t>
      </w:r>
      <w:proofErr w:type="spellEnd"/>
      <w:r w:rsidRPr="00267120">
        <w:rPr>
          <w:rFonts w:ascii="Book Antiqua" w:hAnsi="Book Antiqua"/>
          <w:sz w:val="24"/>
          <w:szCs w:val="24"/>
        </w:rPr>
        <w:t xml:space="preserve"> between energy, water, food, land, and climate through integrated policy and enforcement mechanisms;</w:t>
      </w:r>
    </w:p>
    <w:p w:rsidR="00267120" w:rsidRDefault="00267120" w:rsidP="00267120">
      <w:pPr>
        <w:jc w:val="both"/>
        <w:rPr>
          <w:rFonts w:ascii="Book Antiqua" w:hAnsi="Book Antiqua"/>
          <w:sz w:val="24"/>
          <w:szCs w:val="24"/>
        </w:rPr>
      </w:pPr>
      <w:r w:rsidRPr="00EE6A2A">
        <w:rPr>
          <w:rFonts w:ascii="Book Antiqua" w:hAnsi="Book Antiqua"/>
          <w:b/>
          <w:bCs/>
          <w:sz w:val="24"/>
          <w:szCs w:val="24"/>
        </w:rPr>
        <w:t>Mindful</w:t>
      </w:r>
      <w:r w:rsidRPr="00267120">
        <w:rPr>
          <w:rFonts w:ascii="Book Antiqua" w:hAnsi="Book Antiqua"/>
          <w:sz w:val="24"/>
          <w:szCs w:val="24"/>
        </w:rPr>
        <w:t xml:space="preserve"> of the post-COVID-19 economic and social recovery, which presents a strategic opportunity to "build back better" and greener;</w:t>
      </w:r>
    </w:p>
    <w:p w:rsidR="00267120" w:rsidRDefault="00267120" w:rsidP="00267120">
      <w:pPr>
        <w:jc w:val="both"/>
        <w:rPr>
          <w:rFonts w:ascii="Book Antiqua" w:hAnsi="Book Antiqua"/>
          <w:sz w:val="24"/>
          <w:szCs w:val="24"/>
        </w:rPr>
      </w:pPr>
      <w:r w:rsidRPr="00EE6A2A">
        <w:rPr>
          <w:rFonts w:ascii="Book Antiqua" w:hAnsi="Book Antiqua"/>
          <w:b/>
          <w:bCs/>
          <w:sz w:val="24"/>
          <w:szCs w:val="24"/>
        </w:rPr>
        <w:t>Building</w:t>
      </w:r>
      <w:r w:rsidRPr="00267120">
        <w:rPr>
          <w:rFonts w:ascii="Book Antiqua" w:hAnsi="Book Antiqua"/>
          <w:sz w:val="24"/>
          <w:szCs w:val="24"/>
        </w:rPr>
        <w:t xml:space="preserve"> upon the Foundation of the Framework Plan of Action on Environmental Cooperation and Global Warming (2016-2020) and the decisions of the 6</w:t>
      </w:r>
      <w:r w:rsidRPr="00267120">
        <w:rPr>
          <w:rFonts w:ascii="Book Antiqua" w:hAnsi="Book Antiqua"/>
          <w:sz w:val="24"/>
          <w:szCs w:val="24"/>
          <w:vertAlign w:val="superscript"/>
        </w:rPr>
        <w:t>th</w:t>
      </w:r>
      <w:r>
        <w:rPr>
          <w:rFonts w:ascii="Book Antiqua" w:hAnsi="Book Antiqua"/>
          <w:sz w:val="24"/>
          <w:szCs w:val="24"/>
        </w:rPr>
        <w:t xml:space="preserve"> </w:t>
      </w:r>
      <w:r w:rsidRPr="00267120">
        <w:rPr>
          <w:rFonts w:ascii="Book Antiqua" w:hAnsi="Book Antiqua"/>
          <w:sz w:val="24"/>
          <w:szCs w:val="24"/>
        </w:rPr>
        <w:t xml:space="preserve">ECO Ministerial Meeting on Environment held in </w:t>
      </w:r>
      <w:r>
        <w:rPr>
          <w:rFonts w:ascii="Book Antiqua" w:hAnsi="Book Antiqua"/>
          <w:sz w:val="24"/>
          <w:szCs w:val="24"/>
        </w:rPr>
        <w:t>Samarkand</w:t>
      </w:r>
      <w:r w:rsidRPr="00267120">
        <w:rPr>
          <w:rFonts w:ascii="Book Antiqua" w:hAnsi="Book Antiqua"/>
          <w:sz w:val="24"/>
          <w:szCs w:val="24"/>
        </w:rPr>
        <w:t xml:space="preserve"> (202</w:t>
      </w:r>
      <w:r>
        <w:rPr>
          <w:rFonts w:ascii="Book Antiqua" w:hAnsi="Book Antiqua"/>
          <w:sz w:val="24"/>
          <w:szCs w:val="24"/>
        </w:rPr>
        <w:t>6</w:t>
      </w:r>
      <w:r w:rsidRPr="00267120">
        <w:rPr>
          <w:rFonts w:ascii="Book Antiqua" w:hAnsi="Book Antiqua"/>
          <w:sz w:val="24"/>
          <w:szCs w:val="24"/>
        </w:rPr>
        <w:t>);</w:t>
      </w:r>
    </w:p>
    <w:p w:rsidR="00267120" w:rsidRDefault="00267120" w:rsidP="00267120">
      <w:pPr>
        <w:jc w:val="both"/>
        <w:rPr>
          <w:rFonts w:ascii="Book Antiqua" w:hAnsi="Book Antiqua"/>
          <w:sz w:val="24"/>
          <w:szCs w:val="24"/>
        </w:rPr>
      </w:pPr>
      <w:r w:rsidRPr="00267120">
        <w:rPr>
          <w:rFonts w:ascii="Book Antiqua" w:hAnsi="Book Antiqua"/>
          <w:sz w:val="24"/>
          <w:szCs w:val="24"/>
        </w:rPr>
        <w:br/>
        <w:t>Have agreed to promote the following Cooperation Framework on the Environment for the ECO Region:</w:t>
      </w:r>
    </w:p>
    <w:p w:rsidR="00267120" w:rsidRDefault="00267120" w:rsidP="00267120">
      <w:pPr>
        <w:jc w:val="both"/>
        <w:rPr>
          <w:rFonts w:ascii="Book Antiqua" w:hAnsi="Book Antiqua"/>
          <w:sz w:val="24"/>
          <w:szCs w:val="24"/>
        </w:rPr>
      </w:pPr>
      <w:r w:rsidRPr="00267120">
        <w:rPr>
          <w:rFonts w:ascii="Book Antiqua" w:hAnsi="Book Antiqua"/>
          <w:sz w:val="24"/>
          <w:szCs w:val="24"/>
        </w:rPr>
        <w:lastRenderedPageBreak/>
        <w:br/>
      </w:r>
      <w:r w:rsidRPr="00267120">
        <w:rPr>
          <w:rFonts w:ascii="Book Antiqua" w:hAnsi="Book Antiqua"/>
          <w:b/>
          <w:bCs/>
          <w:sz w:val="24"/>
          <w:szCs w:val="24"/>
        </w:rPr>
        <w:t>Article 1: Objectives</w:t>
      </w:r>
    </w:p>
    <w:p w:rsidR="00267120" w:rsidRDefault="00267120" w:rsidP="00267120">
      <w:pPr>
        <w:jc w:val="both"/>
        <w:rPr>
          <w:rFonts w:ascii="Book Antiqua" w:hAnsi="Book Antiqua"/>
          <w:sz w:val="24"/>
          <w:szCs w:val="24"/>
        </w:rPr>
      </w:pPr>
      <w:r w:rsidRPr="00267120">
        <w:rPr>
          <w:rFonts w:ascii="Book Antiqua" w:hAnsi="Book Antiqua"/>
          <w:sz w:val="24"/>
          <w:szCs w:val="24"/>
        </w:rPr>
        <w:t>The Member States agree to promote synergies and coordinate efforts to achieve the following objectives:</w:t>
      </w:r>
    </w:p>
    <w:p w:rsidR="00267120" w:rsidRP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strengthen regional cooperation for environmental protection, enhancing the ECO's role through coordinated actions at all levels, supported by a robust monitoring and review mechanism.</w:t>
      </w:r>
    </w:p>
    <w:p w:rsid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mainstream biodiversity conservation, its sustainable use, and the fair and equitable sharing of benefits from genetic resources into regional and national development policies.</w:t>
      </w:r>
    </w:p>
    <w:p w:rsid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integrate low-carbon and climate-resilient development approaches into policies and strategies, boosting financial and technical assistance for mitigation, adaptation, and green growth.</w:t>
      </w:r>
    </w:p>
    <w:p w:rsid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 xml:space="preserve">To combat land degradation and desertification by facilitating cooperation on long-term solutions, sustainable land management, and </w:t>
      </w:r>
      <w:proofErr w:type="spellStart"/>
      <w:r w:rsidRPr="00267120">
        <w:rPr>
          <w:rFonts w:ascii="Book Antiqua" w:hAnsi="Book Antiqua"/>
          <w:sz w:val="24"/>
          <w:szCs w:val="24"/>
        </w:rPr>
        <w:t>drylands</w:t>
      </w:r>
      <w:proofErr w:type="spellEnd"/>
      <w:r w:rsidRPr="00267120">
        <w:rPr>
          <w:rFonts w:ascii="Book Antiqua" w:hAnsi="Book Antiqua"/>
          <w:sz w:val="24"/>
          <w:szCs w:val="24"/>
        </w:rPr>
        <w:t xml:space="preserve"> restoration.</w:t>
      </w:r>
    </w:p>
    <w:p w:rsid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contribute to the 2030 Agenda for Sustainable Development by ensuring the economic recovery from the COVID-19 pandemic is a green, sustainable, and inclusive recovery.</w:t>
      </w:r>
    </w:p>
    <w:p w:rsidR="00267120"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enhance transformative actions by all sectors of society, including governments, indigenous peoples, local communities, civil society, and the private sector, in support of global environmental goals.</w:t>
      </w:r>
    </w:p>
    <w:p w:rsidR="002023B1" w:rsidRDefault="00267120" w:rsidP="00267120">
      <w:pPr>
        <w:pStyle w:val="ListParagraph"/>
        <w:numPr>
          <w:ilvl w:val="1"/>
          <w:numId w:val="1"/>
        </w:numPr>
        <w:jc w:val="both"/>
        <w:rPr>
          <w:rFonts w:ascii="Book Antiqua" w:hAnsi="Book Antiqua"/>
          <w:sz w:val="24"/>
          <w:szCs w:val="24"/>
        </w:rPr>
      </w:pPr>
      <w:r w:rsidRPr="00267120">
        <w:rPr>
          <w:rFonts w:ascii="Book Antiqua" w:hAnsi="Book Antiqua"/>
          <w:sz w:val="24"/>
          <w:szCs w:val="24"/>
        </w:rPr>
        <w:t>To realize the environmental sustainability objectives of ECO Vision 2025 through enhanced regional cooperation.</w:t>
      </w:r>
    </w:p>
    <w:p w:rsidR="006F5DE5" w:rsidRDefault="006F5DE5" w:rsidP="002023B1">
      <w:pPr>
        <w:jc w:val="both"/>
        <w:rPr>
          <w:rFonts w:ascii="Book Antiqua" w:hAnsi="Book Antiqua"/>
          <w:b/>
          <w:bCs/>
          <w:sz w:val="24"/>
          <w:szCs w:val="24"/>
        </w:rPr>
      </w:pPr>
    </w:p>
    <w:p w:rsidR="00E34B05" w:rsidRDefault="00267120" w:rsidP="006F5DE5">
      <w:pPr>
        <w:jc w:val="both"/>
        <w:rPr>
          <w:rFonts w:ascii="Book Antiqua" w:hAnsi="Book Antiqua"/>
          <w:b/>
          <w:bCs/>
          <w:sz w:val="24"/>
          <w:szCs w:val="24"/>
        </w:rPr>
      </w:pPr>
      <w:r w:rsidRPr="002023B1">
        <w:rPr>
          <w:rFonts w:ascii="Book Antiqua" w:hAnsi="Book Antiqua"/>
          <w:b/>
          <w:bCs/>
          <w:sz w:val="24"/>
          <w:szCs w:val="24"/>
        </w:rPr>
        <w:t>Article 2: Implementation and Institutional Arrangements</w:t>
      </w:r>
    </w:p>
    <w:p w:rsidR="002023B1" w:rsidRDefault="00267120" w:rsidP="002023B1">
      <w:pPr>
        <w:pStyle w:val="ListParagraph"/>
        <w:numPr>
          <w:ilvl w:val="1"/>
          <w:numId w:val="2"/>
        </w:numPr>
        <w:jc w:val="both"/>
        <w:rPr>
          <w:rFonts w:ascii="Book Antiqua" w:hAnsi="Book Antiqua"/>
          <w:sz w:val="24"/>
          <w:szCs w:val="24"/>
        </w:rPr>
      </w:pPr>
      <w:r w:rsidRPr="002023B1">
        <w:rPr>
          <w:rFonts w:ascii="Book Antiqua" w:hAnsi="Book Antiqua"/>
          <w:sz w:val="24"/>
          <w:szCs w:val="24"/>
        </w:rPr>
        <w:t>Two Expert Groups on Biodiversity and Climate Change, composed of focal points from Member States, shall be established to coordinate the implementation of the annexed Work Programs.</w:t>
      </w:r>
    </w:p>
    <w:p w:rsidR="002023B1" w:rsidRDefault="00267120" w:rsidP="004D7004">
      <w:pPr>
        <w:pStyle w:val="ListParagraph"/>
        <w:numPr>
          <w:ilvl w:val="1"/>
          <w:numId w:val="2"/>
        </w:numPr>
        <w:jc w:val="both"/>
        <w:rPr>
          <w:rFonts w:ascii="Book Antiqua" w:hAnsi="Book Antiqua"/>
          <w:sz w:val="24"/>
          <w:szCs w:val="24"/>
        </w:rPr>
      </w:pPr>
      <w:r w:rsidRPr="002023B1">
        <w:rPr>
          <w:rFonts w:ascii="Book Antiqua" w:hAnsi="Book Antiqua"/>
          <w:sz w:val="24"/>
          <w:szCs w:val="24"/>
        </w:rPr>
        <w:t>The ECO Secretariat</w:t>
      </w:r>
      <w:r w:rsidR="004D7004">
        <w:rPr>
          <w:rFonts w:ascii="Book Antiqua" w:hAnsi="Book Antiqua"/>
          <w:sz w:val="24"/>
          <w:szCs w:val="24"/>
        </w:rPr>
        <w:t xml:space="preserve"> </w:t>
      </w:r>
      <w:r w:rsidRPr="002023B1">
        <w:rPr>
          <w:rFonts w:ascii="Book Antiqua" w:hAnsi="Book Antiqua"/>
          <w:sz w:val="24"/>
          <w:szCs w:val="24"/>
        </w:rPr>
        <w:t>shall facilitate communications, meetings, and documentation, and will develop a light-touch Monitoring and Evaluation (M&amp;E) Framework with clear indicators to track progress.</w:t>
      </w:r>
    </w:p>
    <w:p w:rsidR="002023B1" w:rsidRDefault="00267120" w:rsidP="002023B1">
      <w:pPr>
        <w:pStyle w:val="ListParagraph"/>
        <w:numPr>
          <w:ilvl w:val="1"/>
          <w:numId w:val="2"/>
        </w:numPr>
        <w:jc w:val="both"/>
        <w:rPr>
          <w:rFonts w:ascii="Book Antiqua" w:hAnsi="Book Antiqua"/>
          <w:sz w:val="24"/>
          <w:szCs w:val="24"/>
        </w:rPr>
      </w:pPr>
      <w:r w:rsidRPr="002023B1">
        <w:rPr>
          <w:rFonts w:ascii="Book Antiqua" w:hAnsi="Book Antiqua"/>
          <w:sz w:val="24"/>
          <w:szCs w:val="24"/>
        </w:rPr>
        <w:t>Member States encourage the submission of voluntary biennial progress reports, and the Secretariat shall compile these into a public-facing ECO Regional Environmental Progress Report.</w:t>
      </w:r>
    </w:p>
    <w:p w:rsidR="00E34B05" w:rsidRDefault="00E34B05" w:rsidP="006F5DE5">
      <w:pPr>
        <w:jc w:val="both"/>
        <w:rPr>
          <w:rFonts w:ascii="Book Antiqua" w:hAnsi="Book Antiqua"/>
          <w:b/>
          <w:bCs/>
          <w:sz w:val="24"/>
          <w:szCs w:val="24"/>
        </w:rPr>
      </w:pPr>
    </w:p>
    <w:p w:rsidR="006F5DE5" w:rsidRPr="006F5DE5" w:rsidRDefault="00267120" w:rsidP="006F5DE5">
      <w:pPr>
        <w:jc w:val="both"/>
        <w:rPr>
          <w:rFonts w:ascii="Book Antiqua" w:hAnsi="Book Antiqua"/>
          <w:b/>
          <w:bCs/>
          <w:sz w:val="24"/>
          <w:szCs w:val="24"/>
        </w:rPr>
      </w:pPr>
      <w:r w:rsidRPr="006F5DE5">
        <w:rPr>
          <w:rFonts w:ascii="Book Antiqua" w:hAnsi="Book Antiqua"/>
          <w:b/>
          <w:bCs/>
          <w:sz w:val="24"/>
          <w:szCs w:val="24"/>
        </w:rPr>
        <w:t>Article 3: Resource Mobilization</w:t>
      </w:r>
    </w:p>
    <w:p w:rsidR="006F5DE5" w:rsidRDefault="00267120" w:rsidP="006F5DE5">
      <w:pPr>
        <w:jc w:val="both"/>
        <w:rPr>
          <w:rFonts w:ascii="Book Antiqua" w:hAnsi="Book Antiqua"/>
          <w:sz w:val="24"/>
          <w:szCs w:val="24"/>
        </w:rPr>
      </w:pPr>
      <w:r w:rsidRPr="006F5DE5">
        <w:rPr>
          <w:rFonts w:ascii="Book Antiqua" w:hAnsi="Book Antiqua"/>
          <w:sz w:val="24"/>
          <w:szCs w:val="24"/>
        </w:rPr>
        <w:lastRenderedPageBreak/>
        <w:t>The Member States, in collaboration with the ECO Secretariat:</w:t>
      </w:r>
    </w:p>
    <w:p w:rsidR="006F5DE5" w:rsidRDefault="006F5DE5" w:rsidP="006F5DE5">
      <w:pPr>
        <w:ind w:left="720" w:hanging="720"/>
        <w:jc w:val="both"/>
        <w:rPr>
          <w:rFonts w:ascii="Book Antiqua" w:hAnsi="Book Antiqua"/>
          <w:sz w:val="24"/>
          <w:szCs w:val="24"/>
        </w:rPr>
      </w:pPr>
      <w:r>
        <w:rPr>
          <w:rFonts w:ascii="Book Antiqua" w:hAnsi="Book Antiqua"/>
          <w:sz w:val="24"/>
          <w:szCs w:val="24"/>
        </w:rPr>
        <w:t>3</w:t>
      </w:r>
      <w:r w:rsidRPr="006F5DE5">
        <w:rPr>
          <w:rFonts w:ascii="Book Antiqua" w:hAnsi="Book Antiqua"/>
          <w:sz w:val="24"/>
          <w:szCs w:val="24"/>
        </w:rPr>
        <w:t>.1.</w:t>
      </w:r>
      <w:r w:rsidRPr="006F5DE5">
        <w:rPr>
          <w:rFonts w:ascii="Book Antiqua" w:hAnsi="Book Antiqua"/>
          <w:sz w:val="24"/>
          <w:szCs w:val="24"/>
        </w:rPr>
        <w:tab/>
      </w:r>
      <w:r w:rsidR="00267120" w:rsidRPr="006F5DE5">
        <w:rPr>
          <w:rFonts w:ascii="Book Antiqua" w:hAnsi="Book Antiqua"/>
          <w:sz w:val="24"/>
          <w:szCs w:val="24"/>
        </w:rPr>
        <w:t>Agree to develop a dedicated Resource Mobilization Strategy to secure financial and technical resources for the Framework's implementation. This strategy will prioritize:</w:t>
      </w:r>
    </w:p>
    <w:p w:rsidR="006F5DE5" w:rsidRPr="009E7912" w:rsidRDefault="00267120" w:rsidP="009E7912">
      <w:pPr>
        <w:pStyle w:val="ListParagraph"/>
        <w:numPr>
          <w:ilvl w:val="0"/>
          <w:numId w:val="14"/>
        </w:numPr>
        <w:jc w:val="both"/>
        <w:rPr>
          <w:rFonts w:ascii="Book Antiqua" w:hAnsi="Book Antiqua"/>
          <w:sz w:val="24"/>
          <w:szCs w:val="24"/>
        </w:rPr>
      </w:pPr>
      <w:r w:rsidRPr="009E7912">
        <w:rPr>
          <w:rFonts w:ascii="Book Antiqua" w:hAnsi="Book Antiqua"/>
          <w:sz w:val="24"/>
          <w:szCs w:val="24"/>
        </w:rPr>
        <w:t>Leveraging existing regional and international financial mechanisms</w:t>
      </w:r>
      <w:r w:rsidR="0023270F" w:rsidRPr="009E7912">
        <w:rPr>
          <w:rFonts w:ascii="Book Antiqua" w:hAnsi="Book Antiqua"/>
          <w:sz w:val="24"/>
          <w:szCs w:val="24"/>
        </w:rPr>
        <w:t xml:space="preserve"> </w:t>
      </w:r>
      <w:r w:rsidRPr="009E7912">
        <w:rPr>
          <w:rFonts w:ascii="Book Antiqua" w:hAnsi="Book Antiqua"/>
          <w:sz w:val="24"/>
          <w:szCs w:val="24"/>
        </w:rPr>
        <w:t>(e.g., the Global Environment Facility, Green Climate Fund).</w:t>
      </w:r>
    </w:p>
    <w:p w:rsidR="0023270F" w:rsidRPr="009E7912" w:rsidRDefault="00267120" w:rsidP="009E7912">
      <w:pPr>
        <w:pStyle w:val="ListParagraph"/>
        <w:numPr>
          <w:ilvl w:val="0"/>
          <w:numId w:val="14"/>
        </w:numPr>
        <w:jc w:val="both"/>
        <w:rPr>
          <w:rFonts w:ascii="Book Antiqua" w:hAnsi="Book Antiqua"/>
          <w:sz w:val="24"/>
          <w:szCs w:val="24"/>
        </w:rPr>
      </w:pPr>
      <w:r w:rsidRPr="009E7912">
        <w:rPr>
          <w:rFonts w:ascii="Book Antiqua" w:hAnsi="Book Antiqua"/>
          <w:sz w:val="24"/>
          <w:szCs w:val="24"/>
        </w:rPr>
        <w:t>Engaging with regional development banks,</w:t>
      </w:r>
      <w:r w:rsidR="006F5DE5" w:rsidRPr="009E7912">
        <w:rPr>
          <w:rFonts w:ascii="Book Antiqua" w:hAnsi="Book Antiqua"/>
          <w:sz w:val="24"/>
          <w:szCs w:val="24"/>
        </w:rPr>
        <w:t xml:space="preserve"> </w:t>
      </w:r>
      <w:r w:rsidRPr="009E7912">
        <w:rPr>
          <w:rFonts w:ascii="Book Antiqua" w:hAnsi="Book Antiqua"/>
          <w:sz w:val="24"/>
          <w:szCs w:val="24"/>
        </w:rPr>
        <w:t>international donors, and the private sector.</w:t>
      </w:r>
    </w:p>
    <w:p w:rsidR="006F5DE5" w:rsidRPr="009E7912" w:rsidRDefault="00267120" w:rsidP="009E7912">
      <w:pPr>
        <w:pStyle w:val="ListParagraph"/>
        <w:numPr>
          <w:ilvl w:val="0"/>
          <w:numId w:val="14"/>
        </w:numPr>
        <w:jc w:val="both"/>
        <w:rPr>
          <w:rFonts w:ascii="Book Antiqua" w:hAnsi="Book Antiqua"/>
          <w:sz w:val="24"/>
          <w:szCs w:val="24"/>
        </w:rPr>
      </w:pPr>
      <w:r w:rsidRPr="009E7912">
        <w:rPr>
          <w:rFonts w:ascii="Book Antiqua" w:hAnsi="Book Antiqua"/>
          <w:sz w:val="24"/>
          <w:szCs w:val="24"/>
        </w:rPr>
        <w:t>Exploring the feasibility of an ECO Green Project Facility to fund flagship regional initiatives.</w:t>
      </w:r>
    </w:p>
    <w:p w:rsidR="006F5DE5" w:rsidRDefault="006F5DE5" w:rsidP="006F5DE5">
      <w:pPr>
        <w:jc w:val="both"/>
        <w:rPr>
          <w:rFonts w:ascii="Book Antiqua" w:hAnsi="Book Antiqua"/>
          <w:sz w:val="24"/>
          <w:szCs w:val="24"/>
        </w:rPr>
      </w:pPr>
      <w:r w:rsidRPr="006F5DE5">
        <w:rPr>
          <w:rFonts w:ascii="Book Antiqua" w:hAnsi="Book Antiqua"/>
          <w:sz w:val="24"/>
          <w:szCs w:val="24"/>
        </w:rPr>
        <w:t xml:space="preserve">3.2. </w:t>
      </w:r>
      <w:r>
        <w:rPr>
          <w:rFonts w:ascii="Book Antiqua" w:hAnsi="Book Antiqua"/>
          <w:sz w:val="24"/>
          <w:szCs w:val="24"/>
        </w:rPr>
        <w:t xml:space="preserve">  </w:t>
      </w:r>
      <w:r w:rsidR="00267120" w:rsidRPr="006F5DE5">
        <w:rPr>
          <w:rFonts w:ascii="Book Antiqua" w:hAnsi="Book Antiqua"/>
          <w:sz w:val="24"/>
          <w:szCs w:val="24"/>
        </w:rPr>
        <w:t>Will create appropriate documentation, including project proposals and budget plans, to serve as a basis for negotiations with partners, sponsors, and donors.</w:t>
      </w:r>
    </w:p>
    <w:p w:rsidR="006F5DE5" w:rsidRPr="006F5DE5" w:rsidRDefault="00267120" w:rsidP="006F5DE5">
      <w:pPr>
        <w:jc w:val="both"/>
        <w:rPr>
          <w:rFonts w:ascii="Book Antiqua" w:hAnsi="Book Antiqua"/>
          <w:b/>
          <w:bCs/>
          <w:sz w:val="24"/>
          <w:szCs w:val="24"/>
        </w:rPr>
      </w:pPr>
      <w:r w:rsidRPr="006F5DE5">
        <w:rPr>
          <w:rFonts w:ascii="Book Antiqua" w:hAnsi="Book Antiqua"/>
          <w:sz w:val="24"/>
          <w:szCs w:val="24"/>
        </w:rPr>
        <w:br/>
      </w:r>
      <w:r w:rsidRPr="006F5DE5">
        <w:rPr>
          <w:rFonts w:ascii="Book Antiqua" w:hAnsi="Book Antiqua"/>
          <w:b/>
          <w:bCs/>
          <w:sz w:val="24"/>
          <w:szCs w:val="24"/>
        </w:rPr>
        <w:t>Article 4: Thematic Areas of Cooperation</w:t>
      </w:r>
    </w:p>
    <w:p w:rsidR="006F5DE5" w:rsidRDefault="00267120" w:rsidP="006F5DE5">
      <w:pPr>
        <w:jc w:val="both"/>
        <w:rPr>
          <w:rFonts w:ascii="Book Antiqua" w:hAnsi="Book Antiqua"/>
          <w:sz w:val="24"/>
          <w:szCs w:val="24"/>
        </w:rPr>
      </w:pPr>
      <w:r w:rsidRPr="006F5DE5">
        <w:rPr>
          <w:rFonts w:ascii="Book Antiqua" w:hAnsi="Book Antiqua"/>
          <w:sz w:val="24"/>
          <w:szCs w:val="24"/>
        </w:rPr>
        <w:br/>
        <w:t>Member States agree to encourage and facilitate cooperation in the following thematic areas, with specific indicative activities detailed in the Annexes on Biodiversity and Climate Change:</w:t>
      </w:r>
    </w:p>
    <w:p w:rsidR="006F5DE5" w:rsidRDefault="00267120" w:rsidP="006F5DE5">
      <w:pPr>
        <w:jc w:val="both"/>
        <w:rPr>
          <w:rFonts w:ascii="Book Antiqua" w:hAnsi="Book Antiqua"/>
          <w:sz w:val="24"/>
          <w:szCs w:val="24"/>
        </w:rPr>
      </w:pPr>
      <w:r w:rsidRPr="006F5DE5">
        <w:rPr>
          <w:rFonts w:ascii="Book Antiqua" w:hAnsi="Book Antiqua"/>
          <w:sz w:val="24"/>
          <w:szCs w:val="24"/>
        </w:rPr>
        <w:t>4.1. Natural Environment:</w:t>
      </w:r>
    </w:p>
    <w:p w:rsidR="006F5DE5" w:rsidRDefault="00267120" w:rsidP="006F5DE5">
      <w:pPr>
        <w:pStyle w:val="ListParagraph"/>
        <w:numPr>
          <w:ilvl w:val="0"/>
          <w:numId w:val="5"/>
        </w:numPr>
        <w:jc w:val="both"/>
        <w:rPr>
          <w:rFonts w:ascii="Book Antiqua" w:hAnsi="Book Antiqua"/>
          <w:sz w:val="24"/>
          <w:szCs w:val="24"/>
        </w:rPr>
      </w:pPr>
      <w:r w:rsidRPr="006F5DE5">
        <w:rPr>
          <w:rFonts w:ascii="Book Antiqua" w:hAnsi="Book Antiqua"/>
          <w:sz w:val="24"/>
          <w:szCs w:val="24"/>
        </w:rPr>
        <w:t xml:space="preserve">Land: Promote integrated spatial planning, especially in </w:t>
      </w:r>
      <w:proofErr w:type="spellStart"/>
      <w:r w:rsidRPr="006F5DE5">
        <w:rPr>
          <w:rFonts w:ascii="Book Antiqua" w:hAnsi="Book Antiqua"/>
          <w:sz w:val="24"/>
          <w:szCs w:val="24"/>
        </w:rPr>
        <w:t>drylands</w:t>
      </w:r>
      <w:proofErr w:type="spellEnd"/>
      <w:r w:rsidRPr="006F5DE5">
        <w:rPr>
          <w:rFonts w:ascii="Book Antiqua" w:hAnsi="Book Antiqua"/>
          <w:sz w:val="24"/>
          <w:szCs w:val="24"/>
        </w:rPr>
        <w:t xml:space="preserve">, and strengthen national and </w:t>
      </w:r>
      <w:proofErr w:type="spellStart"/>
      <w:r w:rsidRPr="006F5DE5">
        <w:rPr>
          <w:rFonts w:ascii="Book Antiqua" w:hAnsi="Book Antiqua"/>
          <w:sz w:val="24"/>
          <w:szCs w:val="24"/>
        </w:rPr>
        <w:t>transboundary</w:t>
      </w:r>
      <w:proofErr w:type="spellEnd"/>
      <w:r w:rsidRPr="006F5DE5">
        <w:rPr>
          <w:rFonts w:ascii="Book Antiqua" w:hAnsi="Book Antiqua"/>
          <w:sz w:val="24"/>
          <w:szCs w:val="24"/>
        </w:rPr>
        <w:t xml:space="preserve"> protected area systems.</w:t>
      </w:r>
    </w:p>
    <w:p w:rsidR="006F5DE5" w:rsidRPr="006F5DE5" w:rsidRDefault="00267120" w:rsidP="006F5DE5">
      <w:pPr>
        <w:pStyle w:val="ListParagraph"/>
        <w:numPr>
          <w:ilvl w:val="0"/>
          <w:numId w:val="5"/>
        </w:numPr>
        <w:jc w:val="both"/>
        <w:rPr>
          <w:rFonts w:ascii="Book Antiqua" w:hAnsi="Book Antiqua"/>
          <w:sz w:val="24"/>
          <w:szCs w:val="24"/>
        </w:rPr>
      </w:pPr>
      <w:r w:rsidRPr="006F5DE5">
        <w:rPr>
          <w:rFonts w:ascii="Book Antiqua" w:hAnsi="Book Antiqua"/>
          <w:sz w:val="24"/>
          <w:szCs w:val="24"/>
        </w:rPr>
        <w:t>Water: Safeguard freshwater and marine ecosystems through equitable and ecologically representative management.</w:t>
      </w:r>
    </w:p>
    <w:p w:rsidR="006F5DE5" w:rsidRPr="006F5DE5" w:rsidRDefault="00267120" w:rsidP="006F5DE5">
      <w:pPr>
        <w:pStyle w:val="ListParagraph"/>
        <w:numPr>
          <w:ilvl w:val="0"/>
          <w:numId w:val="5"/>
        </w:numPr>
        <w:jc w:val="both"/>
        <w:rPr>
          <w:rFonts w:ascii="Book Antiqua" w:hAnsi="Book Antiqua"/>
          <w:sz w:val="24"/>
          <w:szCs w:val="24"/>
        </w:rPr>
      </w:pPr>
      <w:r w:rsidRPr="006F5DE5">
        <w:rPr>
          <w:rFonts w:ascii="Book Antiqua" w:hAnsi="Book Antiqua"/>
          <w:sz w:val="24"/>
          <w:szCs w:val="24"/>
        </w:rPr>
        <w:t>Species and Genetic Diversity: Conserve species, control invasive alien species, and implement access and benefit-sharing mechanisms.</w:t>
      </w:r>
    </w:p>
    <w:p w:rsidR="006F5DE5" w:rsidRDefault="00267120" w:rsidP="006F5DE5">
      <w:pPr>
        <w:jc w:val="both"/>
        <w:rPr>
          <w:rFonts w:ascii="Book Antiqua" w:hAnsi="Book Antiqua"/>
          <w:sz w:val="24"/>
          <w:szCs w:val="24"/>
        </w:rPr>
      </w:pPr>
      <w:r w:rsidRPr="006F5DE5">
        <w:rPr>
          <w:rFonts w:ascii="Book Antiqua" w:hAnsi="Book Antiqua"/>
          <w:sz w:val="24"/>
          <w:szCs w:val="24"/>
        </w:rPr>
        <w:br/>
        <w:t>4.2. Human Environment:</w:t>
      </w:r>
    </w:p>
    <w:p w:rsidR="006F5DE5" w:rsidRPr="006F5DE5" w:rsidRDefault="00267120" w:rsidP="006F5DE5">
      <w:pPr>
        <w:pStyle w:val="ListParagraph"/>
        <w:numPr>
          <w:ilvl w:val="0"/>
          <w:numId w:val="6"/>
        </w:numPr>
        <w:jc w:val="both"/>
        <w:rPr>
          <w:rFonts w:ascii="Book Antiqua" w:hAnsi="Book Antiqua"/>
          <w:sz w:val="24"/>
          <w:szCs w:val="24"/>
        </w:rPr>
      </w:pPr>
      <w:r w:rsidRPr="006F5DE5">
        <w:rPr>
          <w:rFonts w:ascii="Book Antiqua" w:hAnsi="Book Antiqua"/>
          <w:sz w:val="24"/>
          <w:szCs w:val="24"/>
        </w:rPr>
        <w:t>Energy: Develop strategies for energy efficiency, renewable energy investment, regional power trade, and the phase-out of inefficient fossil fuel subsidies.</w:t>
      </w:r>
    </w:p>
    <w:p w:rsidR="006F5DE5" w:rsidRPr="006F5DE5" w:rsidRDefault="00267120" w:rsidP="006F5DE5">
      <w:pPr>
        <w:pStyle w:val="ListParagraph"/>
        <w:numPr>
          <w:ilvl w:val="0"/>
          <w:numId w:val="6"/>
        </w:numPr>
        <w:jc w:val="both"/>
        <w:rPr>
          <w:rFonts w:ascii="Book Antiqua" w:hAnsi="Book Antiqua"/>
          <w:sz w:val="24"/>
          <w:szCs w:val="24"/>
        </w:rPr>
      </w:pPr>
      <w:r w:rsidRPr="006F5DE5">
        <w:rPr>
          <w:rFonts w:ascii="Book Antiqua" w:hAnsi="Book Antiqua"/>
          <w:sz w:val="24"/>
          <w:szCs w:val="24"/>
        </w:rPr>
        <w:t>Settlements: Enhance urban and rural resilience through improved waste management, air and water quality, disaster risk response, and green infrastructure.</w:t>
      </w:r>
    </w:p>
    <w:p w:rsidR="006F5DE5" w:rsidRPr="006F5DE5" w:rsidRDefault="00267120" w:rsidP="006F5DE5">
      <w:pPr>
        <w:pStyle w:val="ListParagraph"/>
        <w:numPr>
          <w:ilvl w:val="0"/>
          <w:numId w:val="6"/>
        </w:numPr>
        <w:jc w:val="both"/>
        <w:rPr>
          <w:rFonts w:ascii="Book Antiqua" w:hAnsi="Book Antiqua"/>
          <w:sz w:val="24"/>
          <w:szCs w:val="24"/>
        </w:rPr>
      </w:pPr>
      <w:r w:rsidRPr="006F5DE5">
        <w:rPr>
          <w:rFonts w:ascii="Book Antiqua" w:hAnsi="Book Antiqua"/>
          <w:sz w:val="24"/>
          <w:szCs w:val="24"/>
        </w:rPr>
        <w:t>Industry: Encourage responsible industrial practices to reduce pollution and advance low-carbon, circular business models.</w:t>
      </w:r>
    </w:p>
    <w:p w:rsidR="006F5DE5" w:rsidRDefault="00267120" w:rsidP="006F5DE5">
      <w:pPr>
        <w:jc w:val="both"/>
        <w:rPr>
          <w:rFonts w:ascii="Book Antiqua" w:hAnsi="Book Antiqua"/>
          <w:sz w:val="24"/>
          <w:szCs w:val="24"/>
        </w:rPr>
      </w:pPr>
      <w:r w:rsidRPr="006F5DE5">
        <w:rPr>
          <w:rFonts w:ascii="Book Antiqua" w:hAnsi="Book Antiqua"/>
          <w:sz w:val="24"/>
          <w:szCs w:val="24"/>
        </w:rPr>
        <w:lastRenderedPageBreak/>
        <w:br/>
        <w:t>4.3. Cross-Cutting Priorities:</w:t>
      </w:r>
    </w:p>
    <w:p w:rsidR="006F5DE5" w:rsidRPr="006F5DE5" w:rsidRDefault="00267120" w:rsidP="006F5DE5">
      <w:pPr>
        <w:pStyle w:val="ListParagraph"/>
        <w:numPr>
          <w:ilvl w:val="0"/>
          <w:numId w:val="8"/>
        </w:numPr>
        <w:jc w:val="both"/>
        <w:rPr>
          <w:rFonts w:ascii="Book Antiqua" w:hAnsi="Book Antiqua"/>
          <w:sz w:val="24"/>
          <w:szCs w:val="24"/>
        </w:rPr>
      </w:pPr>
      <w:r w:rsidRPr="006F5DE5">
        <w:rPr>
          <w:rFonts w:ascii="Book Antiqua" w:hAnsi="Book Antiqua"/>
          <w:sz w:val="24"/>
          <w:szCs w:val="24"/>
        </w:rPr>
        <w:t>Planning: Implement and update National Action Plans for biodiversity and climate change.</w:t>
      </w:r>
    </w:p>
    <w:p w:rsidR="006F5DE5" w:rsidRPr="006F5DE5" w:rsidRDefault="00267120" w:rsidP="006F5DE5">
      <w:pPr>
        <w:pStyle w:val="ListParagraph"/>
        <w:numPr>
          <w:ilvl w:val="0"/>
          <w:numId w:val="8"/>
        </w:numPr>
        <w:jc w:val="both"/>
        <w:rPr>
          <w:rFonts w:ascii="Book Antiqua" w:hAnsi="Book Antiqua"/>
          <w:sz w:val="24"/>
          <w:szCs w:val="24"/>
        </w:rPr>
      </w:pPr>
      <w:r w:rsidRPr="006F5DE5">
        <w:rPr>
          <w:rFonts w:ascii="Book Antiqua" w:hAnsi="Book Antiqua"/>
          <w:sz w:val="24"/>
          <w:szCs w:val="24"/>
        </w:rPr>
        <w:t>Health &amp; Food Security: Promote ecosystem-based approaches for health protection and climate-smart agriculture for food security.</w:t>
      </w:r>
    </w:p>
    <w:p w:rsidR="006F5DE5" w:rsidRPr="006F5DE5" w:rsidRDefault="00267120" w:rsidP="006F5DE5">
      <w:pPr>
        <w:pStyle w:val="ListParagraph"/>
        <w:numPr>
          <w:ilvl w:val="0"/>
          <w:numId w:val="8"/>
        </w:numPr>
        <w:jc w:val="both"/>
        <w:rPr>
          <w:rFonts w:ascii="Book Antiqua" w:hAnsi="Book Antiqua"/>
          <w:sz w:val="24"/>
          <w:szCs w:val="24"/>
        </w:rPr>
      </w:pPr>
      <w:r w:rsidRPr="006F5DE5">
        <w:rPr>
          <w:rFonts w:ascii="Book Antiqua" w:hAnsi="Book Antiqua"/>
          <w:sz w:val="24"/>
          <w:szCs w:val="24"/>
        </w:rPr>
        <w:t>Circular Economy: Foster a shift to a circular economy by integrating green financing and incentive measures into all economic sectors.</w:t>
      </w:r>
    </w:p>
    <w:p w:rsidR="006F5DE5" w:rsidRDefault="00267120" w:rsidP="006F5DE5">
      <w:pPr>
        <w:jc w:val="both"/>
        <w:rPr>
          <w:rFonts w:ascii="Book Antiqua" w:hAnsi="Book Antiqua"/>
          <w:sz w:val="24"/>
          <w:szCs w:val="24"/>
        </w:rPr>
      </w:pPr>
      <w:r w:rsidRPr="006F5DE5">
        <w:rPr>
          <w:rFonts w:ascii="Book Antiqua" w:hAnsi="Book Antiqua"/>
          <w:sz w:val="24"/>
          <w:szCs w:val="24"/>
        </w:rPr>
        <w:br/>
        <w:t>4.4. Mainstreaming Actions:</w:t>
      </w:r>
    </w:p>
    <w:p w:rsidR="006F5DE5" w:rsidRPr="005456EB" w:rsidRDefault="00267120" w:rsidP="005456EB">
      <w:pPr>
        <w:pStyle w:val="ListParagraph"/>
        <w:numPr>
          <w:ilvl w:val="0"/>
          <w:numId w:val="10"/>
        </w:numPr>
        <w:jc w:val="both"/>
        <w:rPr>
          <w:rFonts w:ascii="Book Antiqua" w:hAnsi="Book Antiqua"/>
          <w:sz w:val="24"/>
          <w:szCs w:val="24"/>
        </w:rPr>
      </w:pPr>
      <w:r w:rsidRPr="005456EB">
        <w:rPr>
          <w:rFonts w:ascii="Book Antiqua" w:hAnsi="Book Antiqua"/>
          <w:sz w:val="24"/>
          <w:szCs w:val="24"/>
        </w:rPr>
        <w:t>Data and Information: Strengthen mechanisms for environmental data collection, exchange, and harmonization.</w:t>
      </w:r>
    </w:p>
    <w:p w:rsidR="006F5DE5" w:rsidRPr="005456EB" w:rsidRDefault="00267120" w:rsidP="005456EB">
      <w:pPr>
        <w:pStyle w:val="ListParagraph"/>
        <w:numPr>
          <w:ilvl w:val="0"/>
          <w:numId w:val="10"/>
        </w:numPr>
        <w:jc w:val="both"/>
        <w:rPr>
          <w:rFonts w:ascii="Book Antiqua" w:hAnsi="Book Antiqua"/>
          <w:sz w:val="24"/>
          <w:szCs w:val="24"/>
        </w:rPr>
      </w:pPr>
      <w:r w:rsidRPr="005456EB">
        <w:rPr>
          <w:rFonts w:ascii="Book Antiqua" w:hAnsi="Book Antiqua"/>
          <w:sz w:val="24"/>
          <w:szCs w:val="24"/>
        </w:rPr>
        <w:t>CEPA (Communication, Education and Public Awareness): Encourage capacity-building, technology transfer, joint research, and the inclusion of traditional knowledge.</w:t>
      </w:r>
    </w:p>
    <w:p w:rsidR="006F5DE5" w:rsidRPr="005456EB" w:rsidRDefault="00267120" w:rsidP="005456EB">
      <w:pPr>
        <w:pStyle w:val="ListParagraph"/>
        <w:numPr>
          <w:ilvl w:val="0"/>
          <w:numId w:val="10"/>
        </w:numPr>
        <w:jc w:val="both"/>
        <w:rPr>
          <w:rFonts w:ascii="Book Antiqua" w:hAnsi="Book Antiqua"/>
          <w:sz w:val="24"/>
          <w:szCs w:val="24"/>
        </w:rPr>
      </w:pPr>
      <w:r w:rsidRPr="005456EB">
        <w:rPr>
          <w:rFonts w:ascii="Book Antiqua" w:hAnsi="Book Antiqua"/>
          <w:sz w:val="24"/>
          <w:szCs w:val="24"/>
        </w:rPr>
        <w:t>Participatory Approach: Engage all relevant stakeholders, including sub-national governments, civil society, women, youth, and the business community.</w:t>
      </w:r>
    </w:p>
    <w:p w:rsidR="005456EB" w:rsidRPr="005456EB" w:rsidRDefault="00267120" w:rsidP="005456EB">
      <w:pPr>
        <w:pStyle w:val="ListParagraph"/>
        <w:numPr>
          <w:ilvl w:val="0"/>
          <w:numId w:val="10"/>
        </w:numPr>
        <w:jc w:val="both"/>
        <w:rPr>
          <w:rFonts w:ascii="Book Antiqua" w:hAnsi="Book Antiqua"/>
          <w:sz w:val="24"/>
          <w:szCs w:val="24"/>
        </w:rPr>
      </w:pPr>
      <w:r w:rsidRPr="005456EB">
        <w:rPr>
          <w:rFonts w:ascii="Book Antiqua" w:hAnsi="Book Antiqua"/>
          <w:sz w:val="24"/>
          <w:szCs w:val="24"/>
        </w:rPr>
        <w:t>Global Collaboration: Enhance coordination with Multilateral Environmental Agreements (MEAs), including through preparatory meetings for COPs to develop common regional positions where appropriate.</w:t>
      </w:r>
    </w:p>
    <w:p w:rsidR="005456EB" w:rsidRPr="0023270F" w:rsidRDefault="00267120" w:rsidP="006F5DE5">
      <w:pPr>
        <w:jc w:val="both"/>
        <w:rPr>
          <w:rFonts w:ascii="Book Antiqua" w:hAnsi="Book Antiqua"/>
          <w:b/>
          <w:bCs/>
          <w:sz w:val="24"/>
          <w:szCs w:val="24"/>
        </w:rPr>
      </w:pPr>
      <w:r w:rsidRPr="006F5DE5">
        <w:rPr>
          <w:rFonts w:ascii="Book Antiqua" w:hAnsi="Book Antiqua"/>
          <w:sz w:val="24"/>
          <w:szCs w:val="24"/>
        </w:rPr>
        <w:br/>
      </w:r>
      <w:r w:rsidRPr="0023270F">
        <w:rPr>
          <w:rFonts w:ascii="Book Antiqua" w:hAnsi="Book Antiqua"/>
          <w:b/>
          <w:bCs/>
          <w:sz w:val="24"/>
          <w:szCs w:val="24"/>
        </w:rPr>
        <w:t>Final Provisions</w:t>
      </w:r>
    </w:p>
    <w:p w:rsidR="005456EB" w:rsidRDefault="00267120" w:rsidP="00C82A19">
      <w:pPr>
        <w:jc w:val="both"/>
        <w:rPr>
          <w:rFonts w:ascii="Book Antiqua" w:hAnsi="Book Antiqua"/>
          <w:sz w:val="24"/>
          <w:szCs w:val="24"/>
        </w:rPr>
      </w:pPr>
      <w:r w:rsidRPr="006F5DE5">
        <w:rPr>
          <w:rFonts w:ascii="Book Antiqua" w:hAnsi="Book Antiqua"/>
          <w:sz w:val="24"/>
          <w:szCs w:val="24"/>
        </w:rPr>
        <w:t>This Framework is a voluntary instrument of regional cooperation and is not intended to create legally binding rights or obligations under international law. The specific activities outlined in the Annexes [Annex 1: Work Program on</w:t>
      </w:r>
      <w:r w:rsidR="00C82A19">
        <w:rPr>
          <w:rFonts w:ascii="Book Antiqua" w:hAnsi="Book Antiqua"/>
          <w:sz w:val="24"/>
          <w:szCs w:val="24"/>
        </w:rPr>
        <w:t xml:space="preserve"> </w:t>
      </w:r>
      <w:r w:rsidR="00C82A19" w:rsidRPr="006F5DE5">
        <w:rPr>
          <w:rFonts w:ascii="Book Antiqua" w:hAnsi="Book Antiqua"/>
          <w:sz w:val="24"/>
          <w:szCs w:val="24"/>
        </w:rPr>
        <w:t>Climate Change</w:t>
      </w:r>
      <w:r w:rsidRPr="006F5DE5">
        <w:rPr>
          <w:rFonts w:ascii="Book Antiqua" w:hAnsi="Book Antiqua"/>
          <w:sz w:val="24"/>
          <w:szCs w:val="24"/>
        </w:rPr>
        <w:t xml:space="preserve">; Annex 2: Work Program on </w:t>
      </w:r>
      <w:r w:rsidR="00C82A19" w:rsidRPr="00C82A19">
        <w:rPr>
          <w:rFonts w:ascii="Book Antiqua" w:hAnsi="Book Antiqua"/>
          <w:sz w:val="24"/>
          <w:szCs w:val="24"/>
        </w:rPr>
        <w:t>Biodiversity</w:t>
      </w:r>
      <w:r w:rsidRPr="006F5DE5">
        <w:rPr>
          <w:rFonts w:ascii="Book Antiqua" w:hAnsi="Book Antiqua"/>
          <w:sz w:val="24"/>
          <w:szCs w:val="24"/>
        </w:rPr>
        <w:t>] are for further consideration and implementation by Member States according to their national capacities, priorities, and legislation.</w:t>
      </w:r>
    </w:p>
    <w:sectPr w:rsidR="005456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09E" w:rsidRDefault="00A3109E" w:rsidP="00DA1780">
      <w:pPr>
        <w:spacing w:after="0" w:line="240" w:lineRule="auto"/>
      </w:pPr>
      <w:r>
        <w:separator/>
      </w:r>
    </w:p>
  </w:endnote>
  <w:endnote w:type="continuationSeparator" w:id="0">
    <w:p w:rsidR="00A3109E" w:rsidRDefault="00A3109E" w:rsidP="00DA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80" w:rsidRDefault="00DA1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121422"/>
      <w:docPartObj>
        <w:docPartGallery w:val="Page Numbers (Bottom of Page)"/>
        <w:docPartUnique/>
      </w:docPartObj>
    </w:sdtPr>
    <w:sdtEndPr>
      <w:rPr>
        <w:noProof/>
      </w:rPr>
    </w:sdtEndPr>
    <w:sdtContent>
      <w:p w:rsidR="00DA1780" w:rsidRDefault="00DA1780">
        <w:pPr>
          <w:pStyle w:val="Footer"/>
          <w:jc w:val="center"/>
        </w:pPr>
        <w:r>
          <w:fldChar w:fldCharType="begin"/>
        </w:r>
        <w:r>
          <w:instrText xml:space="preserve"> PAGE   \* MERGEFORMAT </w:instrText>
        </w:r>
        <w:r>
          <w:fldChar w:fldCharType="separate"/>
        </w:r>
        <w:r w:rsidR="00242094">
          <w:rPr>
            <w:noProof/>
          </w:rPr>
          <w:t>1</w:t>
        </w:r>
        <w:r>
          <w:rPr>
            <w:noProof/>
          </w:rPr>
          <w:fldChar w:fldCharType="end"/>
        </w:r>
      </w:p>
    </w:sdtContent>
  </w:sdt>
  <w:p w:rsidR="00DA1780" w:rsidRDefault="00DA17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80" w:rsidRDefault="00DA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09E" w:rsidRDefault="00A3109E" w:rsidP="00DA1780">
      <w:pPr>
        <w:spacing w:after="0" w:line="240" w:lineRule="auto"/>
      </w:pPr>
      <w:r>
        <w:separator/>
      </w:r>
    </w:p>
  </w:footnote>
  <w:footnote w:type="continuationSeparator" w:id="0">
    <w:p w:rsidR="00A3109E" w:rsidRDefault="00A3109E" w:rsidP="00DA1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80" w:rsidRDefault="00DA1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80" w:rsidRPr="00242094" w:rsidRDefault="00242094" w:rsidP="00242094">
    <w:pPr>
      <w:pStyle w:val="Header"/>
      <w:jc w:val="right"/>
      <w:rPr>
        <w:i/>
        <w:iCs/>
        <w:sz w:val="20"/>
        <w:szCs w:val="20"/>
      </w:rPr>
    </w:pPr>
    <w:bookmarkStart w:id="0" w:name="_GoBack"/>
    <w:r w:rsidRPr="00242094">
      <w:rPr>
        <w:i/>
        <w:iCs/>
        <w:sz w:val="20"/>
        <w:szCs w:val="20"/>
      </w:rPr>
      <w:t>As</w:t>
    </w:r>
    <w:r w:rsidRPr="00242094">
      <w:rPr>
        <w:rFonts w:ascii="Book Antiqua" w:hAnsi="Book Antiqua"/>
        <w:i/>
        <w:iCs/>
        <w:sz w:val="20"/>
        <w:szCs w:val="20"/>
      </w:rPr>
      <w:t xml:space="preserve"> </w:t>
    </w:r>
    <w:r w:rsidRPr="00242094">
      <w:rPr>
        <w:i/>
        <w:iCs/>
        <w:sz w:val="20"/>
        <w:szCs w:val="20"/>
      </w:rPr>
      <w:t>of 26 March 2026</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80" w:rsidRDefault="00DA1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6600"/>
    <w:multiLevelType w:val="hybridMultilevel"/>
    <w:tmpl w:val="BD3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F750A"/>
    <w:multiLevelType w:val="hybridMultilevel"/>
    <w:tmpl w:val="0A2A40BC"/>
    <w:lvl w:ilvl="0" w:tplc="2A101542">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4304C"/>
    <w:multiLevelType w:val="hybridMultilevel"/>
    <w:tmpl w:val="310C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C5B61"/>
    <w:multiLevelType w:val="hybridMultilevel"/>
    <w:tmpl w:val="6BEC98EC"/>
    <w:lvl w:ilvl="0" w:tplc="0EC63F3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52A22"/>
    <w:multiLevelType w:val="hybridMultilevel"/>
    <w:tmpl w:val="49B4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D3C54"/>
    <w:multiLevelType w:val="multilevel"/>
    <w:tmpl w:val="2982B5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6C9707E"/>
    <w:multiLevelType w:val="hybridMultilevel"/>
    <w:tmpl w:val="436E47BC"/>
    <w:lvl w:ilvl="0" w:tplc="67CC7C7C">
      <w:numFmt w:val="bullet"/>
      <w:lvlText w:val=""/>
      <w:lvlJc w:val="left"/>
      <w:pPr>
        <w:ind w:left="645" w:hanging="360"/>
      </w:pPr>
      <w:rPr>
        <w:rFonts w:ascii="Symbol" w:eastAsiaTheme="minorHAnsi" w:hAnsi="Symbol"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37BD7B1B"/>
    <w:multiLevelType w:val="hybridMultilevel"/>
    <w:tmpl w:val="F7B6B3F6"/>
    <w:lvl w:ilvl="0" w:tplc="C1A4210A">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F2457"/>
    <w:multiLevelType w:val="hybridMultilevel"/>
    <w:tmpl w:val="600AD0BC"/>
    <w:lvl w:ilvl="0" w:tplc="FBEC4D6A">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CE31A3"/>
    <w:multiLevelType w:val="hybridMultilevel"/>
    <w:tmpl w:val="12C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E336F"/>
    <w:multiLevelType w:val="hybridMultilevel"/>
    <w:tmpl w:val="BA5C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563BB"/>
    <w:multiLevelType w:val="hybridMultilevel"/>
    <w:tmpl w:val="8B48D3D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
    <w:nsid w:val="6BDF06DE"/>
    <w:multiLevelType w:val="hybridMultilevel"/>
    <w:tmpl w:val="3226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9732B0"/>
    <w:multiLevelType w:val="multilevel"/>
    <w:tmpl w:val="6F129D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3"/>
  </w:num>
  <w:num w:numId="3">
    <w:abstractNumId w:val="4"/>
  </w:num>
  <w:num w:numId="4">
    <w:abstractNumId w:val="3"/>
  </w:num>
  <w:num w:numId="5">
    <w:abstractNumId w:val="9"/>
  </w:num>
  <w:num w:numId="6">
    <w:abstractNumId w:val="12"/>
  </w:num>
  <w:num w:numId="7">
    <w:abstractNumId w:val="8"/>
  </w:num>
  <w:num w:numId="8">
    <w:abstractNumId w:val="0"/>
  </w:num>
  <w:num w:numId="9">
    <w:abstractNumId w:val="1"/>
  </w:num>
  <w:num w:numId="10">
    <w:abstractNumId w:val="10"/>
  </w:num>
  <w:num w:numId="11">
    <w:abstractNumId w:val="7"/>
  </w:num>
  <w:num w:numId="12">
    <w:abstractNumId w:val="1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AA"/>
    <w:rsid w:val="00021E1E"/>
    <w:rsid w:val="001F0AD1"/>
    <w:rsid w:val="002023B1"/>
    <w:rsid w:val="0023270F"/>
    <w:rsid w:val="00242094"/>
    <w:rsid w:val="00267120"/>
    <w:rsid w:val="002F08AA"/>
    <w:rsid w:val="004C0FDC"/>
    <w:rsid w:val="004D7004"/>
    <w:rsid w:val="005100D1"/>
    <w:rsid w:val="005456EB"/>
    <w:rsid w:val="006F5DE5"/>
    <w:rsid w:val="009619D9"/>
    <w:rsid w:val="009E7912"/>
    <w:rsid w:val="00A3109E"/>
    <w:rsid w:val="00BB4FF2"/>
    <w:rsid w:val="00C82A19"/>
    <w:rsid w:val="00CE0BB1"/>
    <w:rsid w:val="00D47977"/>
    <w:rsid w:val="00DA1780"/>
    <w:rsid w:val="00E34B05"/>
    <w:rsid w:val="00EE6A2A"/>
    <w:rsid w:val="00F75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62ADF1-C388-44B4-A222-2EB727FF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120"/>
    <w:pPr>
      <w:ind w:left="720"/>
      <w:contextualSpacing/>
    </w:pPr>
  </w:style>
  <w:style w:type="paragraph" w:styleId="Header">
    <w:name w:val="header"/>
    <w:basedOn w:val="Normal"/>
    <w:link w:val="HeaderChar"/>
    <w:uiPriority w:val="99"/>
    <w:unhideWhenUsed/>
    <w:rsid w:val="00DA1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80"/>
  </w:style>
  <w:style w:type="paragraph" w:styleId="Footer">
    <w:name w:val="footer"/>
    <w:basedOn w:val="Normal"/>
    <w:link w:val="FooterChar"/>
    <w:uiPriority w:val="99"/>
    <w:unhideWhenUsed/>
    <w:rsid w:val="00DA1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Khansari Bozorgi</dc:creator>
  <cp:keywords/>
  <dc:description/>
  <cp:lastModifiedBy>Morteza Khansari Bozorgi</cp:lastModifiedBy>
  <cp:revision>15</cp:revision>
  <dcterms:created xsi:type="dcterms:W3CDTF">2025-10-28T09:09:00Z</dcterms:created>
  <dcterms:modified xsi:type="dcterms:W3CDTF">2026-03-29T09:47:00Z</dcterms:modified>
</cp:coreProperties>
</file>