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9F6" w:rsidRPr="003C4DF8" w:rsidRDefault="007F39F6" w:rsidP="007F39F6">
      <w:pPr>
        <w:jc w:val="center"/>
        <w:rPr>
          <w:rFonts w:ascii="Book Antiqua" w:hAnsi="Book Antiqua"/>
          <w:b/>
          <w:bCs/>
          <w:sz w:val="24"/>
          <w:szCs w:val="24"/>
        </w:rPr>
      </w:pPr>
      <w:r w:rsidRPr="003C4DF8">
        <w:rPr>
          <w:rFonts w:ascii="Book Antiqua" w:hAnsi="Book Antiqua"/>
          <w:b/>
          <w:bCs/>
          <w:sz w:val="24"/>
          <w:szCs w:val="24"/>
        </w:rPr>
        <w:t xml:space="preserve">Annex </w:t>
      </w:r>
      <w:proofErr w:type="gramStart"/>
      <w:r w:rsidRPr="003C4DF8">
        <w:rPr>
          <w:rFonts w:ascii="Book Antiqua" w:hAnsi="Book Antiqua"/>
          <w:b/>
          <w:bCs/>
          <w:sz w:val="24"/>
          <w:szCs w:val="24"/>
        </w:rPr>
        <w:t>I</w:t>
      </w:r>
      <w:proofErr w:type="gramEnd"/>
      <w:r w:rsidRPr="003C4DF8">
        <w:rPr>
          <w:rFonts w:ascii="Book Antiqua" w:hAnsi="Book Antiqua"/>
          <w:b/>
          <w:bCs/>
          <w:sz w:val="24"/>
          <w:szCs w:val="24"/>
        </w:rPr>
        <w:t>: ECO Work Program on Climate Change (2026-2030)</w:t>
      </w:r>
    </w:p>
    <w:p w:rsidR="008463BA" w:rsidRPr="003C4DF8" w:rsidRDefault="007F39F6" w:rsidP="007F39F6">
      <w:pPr>
        <w:jc w:val="both"/>
        <w:rPr>
          <w:rFonts w:ascii="Book Antiqua" w:hAnsi="Book Antiqua"/>
          <w:sz w:val="24"/>
          <w:szCs w:val="24"/>
        </w:rPr>
      </w:pPr>
      <w:r w:rsidRPr="003C4DF8">
        <w:rPr>
          <w:rFonts w:ascii="Book Antiqua" w:hAnsi="Book Antiqua"/>
          <w:b/>
          <w:bCs/>
          <w:sz w:val="24"/>
          <w:szCs w:val="24"/>
        </w:rPr>
        <w:br/>
      </w:r>
      <w:r w:rsidRPr="003C4DF8">
        <w:rPr>
          <w:rFonts w:ascii="Book Antiqua" w:hAnsi="Book Antiqua"/>
          <w:sz w:val="24"/>
          <w:szCs w:val="24"/>
        </w:rPr>
        <w:br/>
      </w:r>
      <w:r w:rsidRPr="003C4DF8">
        <w:rPr>
          <w:rFonts w:ascii="Book Antiqua" w:hAnsi="Book Antiqua"/>
          <w:b/>
          <w:bCs/>
          <w:sz w:val="24"/>
          <w:szCs w:val="24"/>
        </w:rPr>
        <w:t>Preamble</w:t>
      </w:r>
      <w:proofErr w:type="gramStart"/>
      <w:r w:rsidRPr="003C4DF8">
        <w:rPr>
          <w:rFonts w:ascii="Book Antiqua" w:hAnsi="Book Antiqua"/>
          <w:b/>
          <w:bCs/>
          <w:sz w:val="24"/>
          <w:szCs w:val="24"/>
        </w:rPr>
        <w:t>:</w:t>
      </w:r>
      <w:proofErr w:type="gramEnd"/>
      <w:r w:rsidRPr="003C4DF8">
        <w:rPr>
          <w:rFonts w:ascii="Book Antiqua" w:hAnsi="Book Antiqua"/>
          <w:b/>
          <w:bCs/>
          <w:sz w:val="24"/>
          <w:szCs w:val="24"/>
        </w:rPr>
        <w:br/>
      </w:r>
      <w:r w:rsidRPr="003C4DF8">
        <w:rPr>
          <w:rFonts w:ascii="Book Antiqua" w:hAnsi="Book Antiqua"/>
          <w:sz w:val="24"/>
          <w:szCs w:val="24"/>
        </w:rPr>
        <w:br/>
        <w:t>The Members of the Economic Cooperation Organization (ECO):</w:t>
      </w:r>
    </w:p>
    <w:p w:rsidR="008463BA" w:rsidRPr="003C4DF8" w:rsidRDefault="007F39F6" w:rsidP="007F39F6">
      <w:pPr>
        <w:jc w:val="both"/>
        <w:rPr>
          <w:rFonts w:ascii="Book Antiqua" w:hAnsi="Book Antiqua"/>
          <w:sz w:val="24"/>
          <w:szCs w:val="24"/>
        </w:rPr>
      </w:pPr>
      <w:r w:rsidRPr="003C4DF8">
        <w:rPr>
          <w:rFonts w:ascii="Book Antiqua" w:hAnsi="Book Antiqua"/>
          <w:b/>
          <w:bCs/>
          <w:sz w:val="24"/>
          <w:szCs w:val="24"/>
        </w:rPr>
        <w:t>Guided</w:t>
      </w:r>
      <w:r w:rsidRPr="003C4DF8">
        <w:rPr>
          <w:rFonts w:ascii="Book Antiqua" w:hAnsi="Book Antiqua"/>
          <w:sz w:val="24"/>
          <w:szCs w:val="24"/>
        </w:rPr>
        <w:t xml:space="preserve"> by the Paris Agreement as the foundational framework for global climate action, and reaffirming their commitment to its goals of limiting global temperature rise to well below 2°C, pursuing 1.5°C, and building climate resilience;</w:t>
      </w:r>
    </w:p>
    <w:p w:rsidR="008463BA" w:rsidRPr="003C4DF8" w:rsidRDefault="007F39F6" w:rsidP="007F39F6">
      <w:pPr>
        <w:jc w:val="both"/>
        <w:rPr>
          <w:rFonts w:ascii="Book Antiqua" w:hAnsi="Book Antiqua"/>
          <w:sz w:val="24"/>
          <w:szCs w:val="24"/>
        </w:rPr>
      </w:pPr>
      <w:r w:rsidRPr="003C4DF8">
        <w:rPr>
          <w:rFonts w:ascii="Book Antiqua" w:hAnsi="Book Antiqua"/>
          <w:b/>
          <w:bCs/>
          <w:sz w:val="24"/>
          <w:szCs w:val="24"/>
        </w:rPr>
        <w:t>Acknowledging</w:t>
      </w:r>
      <w:r w:rsidRPr="003C4DF8">
        <w:rPr>
          <w:rFonts w:ascii="Book Antiqua" w:hAnsi="Book Antiqua"/>
          <w:sz w:val="24"/>
          <w:szCs w:val="24"/>
        </w:rPr>
        <w:t xml:space="preserve"> that the climate crisis poses an existential threat to sustainable development, with disproportionate impacts on vulnerable regions, including many within ECO, exacerbating water scarcity, food insecurity, and ecosystem degradation;</w:t>
      </w:r>
    </w:p>
    <w:p w:rsidR="008463BA" w:rsidRPr="003C4DF8" w:rsidRDefault="007F39F6" w:rsidP="007F39F6">
      <w:pPr>
        <w:jc w:val="both"/>
        <w:rPr>
          <w:rFonts w:ascii="Book Antiqua" w:hAnsi="Book Antiqua"/>
          <w:sz w:val="24"/>
          <w:szCs w:val="24"/>
        </w:rPr>
      </w:pPr>
      <w:r w:rsidRPr="003C4DF8">
        <w:rPr>
          <w:rFonts w:ascii="Book Antiqua" w:hAnsi="Book Antiqua"/>
          <w:b/>
          <w:bCs/>
          <w:sz w:val="24"/>
          <w:szCs w:val="24"/>
        </w:rPr>
        <w:t>Recognizing</w:t>
      </w:r>
      <w:r w:rsidRPr="003C4DF8">
        <w:rPr>
          <w:rFonts w:ascii="Book Antiqua" w:hAnsi="Book Antiqua"/>
          <w:sz w:val="24"/>
          <w:szCs w:val="24"/>
        </w:rPr>
        <w:t xml:space="preserve"> the dual challenge of recovering from the socio-economic repercussions of the COVID-19 pandemic while addressing the urgent need for a systemic shift towards a green, resilient, and inclusive development model;</w:t>
      </w:r>
    </w:p>
    <w:p w:rsidR="008463BA" w:rsidRPr="003C4DF8" w:rsidRDefault="007F39F6" w:rsidP="007F39F6">
      <w:pPr>
        <w:jc w:val="both"/>
        <w:rPr>
          <w:rFonts w:ascii="Book Antiqua" w:hAnsi="Book Antiqua"/>
          <w:sz w:val="24"/>
          <w:szCs w:val="24"/>
        </w:rPr>
      </w:pPr>
      <w:r w:rsidRPr="003C4DF8">
        <w:rPr>
          <w:rFonts w:ascii="Book Antiqua" w:hAnsi="Book Antiqua"/>
          <w:b/>
          <w:bCs/>
          <w:sz w:val="24"/>
          <w:szCs w:val="24"/>
        </w:rPr>
        <w:t>Building upon</w:t>
      </w:r>
      <w:r w:rsidRPr="003C4DF8">
        <w:rPr>
          <w:rFonts w:ascii="Book Antiqua" w:hAnsi="Book Antiqua"/>
          <w:sz w:val="24"/>
          <w:szCs w:val="24"/>
        </w:rPr>
        <w:t xml:space="preserve"> the legacy of the “Framework Plan of Action on Environmental Cooperation and Global Warming (2016-2020)” and the outcomes of recent global fora, including the UAE consensus from COP28 (2023) on transitioning away from fossil fuels and the establishment of a loss and damage fund;</w:t>
      </w:r>
    </w:p>
    <w:p w:rsidR="008463BA" w:rsidRPr="003C4DF8" w:rsidRDefault="007F39F6" w:rsidP="007F39F6">
      <w:pPr>
        <w:jc w:val="both"/>
        <w:rPr>
          <w:rFonts w:ascii="Book Antiqua" w:hAnsi="Book Antiqua"/>
          <w:sz w:val="24"/>
          <w:szCs w:val="24"/>
        </w:rPr>
      </w:pPr>
      <w:r w:rsidRPr="003C4DF8">
        <w:rPr>
          <w:rFonts w:ascii="Book Antiqua" w:hAnsi="Book Antiqua"/>
          <w:b/>
          <w:bCs/>
          <w:sz w:val="24"/>
          <w:szCs w:val="24"/>
        </w:rPr>
        <w:t>Emphasizing</w:t>
      </w:r>
      <w:r w:rsidRPr="003C4DF8">
        <w:rPr>
          <w:rFonts w:ascii="Book Antiqua" w:hAnsi="Book Antiqua"/>
          <w:sz w:val="24"/>
          <w:szCs w:val="24"/>
        </w:rPr>
        <w:t xml:space="preserve"> the critical importance of regional cooperation in enhancing ambition, sharing knowledge, pooling resources, and developing a strong, unified voice in global climate negotiations;</w:t>
      </w:r>
    </w:p>
    <w:p w:rsidR="008463BA" w:rsidRPr="003C4DF8" w:rsidRDefault="007F39F6" w:rsidP="007F39F6">
      <w:pPr>
        <w:jc w:val="both"/>
        <w:rPr>
          <w:rFonts w:ascii="Book Antiqua" w:hAnsi="Book Antiqua"/>
          <w:sz w:val="24"/>
          <w:szCs w:val="24"/>
        </w:rPr>
      </w:pPr>
      <w:r w:rsidRPr="003C4DF8">
        <w:rPr>
          <w:rFonts w:ascii="Book Antiqua" w:hAnsi="Book Antiqua"/>
          <w:sz w:val="24"/>
          <w:szCs w:val="24"/>
        </w:rPr>
        <w:t>Hereby adopt this voluntary Work Program on Climate Change to accelerate collective action for a sustainable future in the ECO Region.</w:t>
      </w:r>
    </w:p>
    <w:p w:rsidR="00280625" w:rsidRPr="00280625" w:rsidRDefault="007F39F6" w:rsidP="007F39F6">
      <w:pPr>
        <w:jc w:val="both"/>
        <w:rPr>
          <w:rFonts w:ascii="Book Antiqua" w:hAnsi="Book Antiqua"/>
          <w:b/>
          <w:bCs/>
          <w:sz w:val="24"/>
          <w:szCs w:val="24"/>
        </w:rPr>
      </w:pPr>
      <w:r w:rsidRPr="003C4DF8">
        <w:rPr>
          <w:rFonts w:ascii="Book Antiqua" w:hAnsi="Book Antiqua"/>
          <w:sz w:val="24"/>
          <w:szCs w:val="24"/>
        </w:rPr>
        <w:br/>
      </w:r>
      <w:r w:rsidRPr="00280625">
        <w:rPr>
          <w:rFonts w:ascii="Book Antiqua" w:hAnsi="Book Antiqua"/>
          <w:b/>
          <w:bCs/>
          <w:sz w:val="24"/>
          <w:szCs w:val="24"/>
        </w:rPr>
        <w:t>1. Strategic Objectives</w:t>
      </w:r>
    </w:p>
    <w:p w:rsidR="00280625" w:rsidRDefault="007F39F6" w:rsidP="007F39F6">
      <w:pPr>
        <w:jc w:val="both"/>
        <w:rPr>
          <w:rFonts w:ascii="Book Antiqua" w:hAnsi="Book Antiqua"/>
          <w:sz w:val="24"/>
          <w:szCs w:val="24"/>
        </w:rPr>
      </w:pPr>
      <w:r w:rsidRPr="003C4DF8">
        <w:rPr>
          <w:rFonts w:ascii="Book Antiqua" w:hAnsi="Book Antiqua"/>
          <w:sz w:val="24"/>
          <w:szCs w:val="24"/>
        </w:rPr>
        <w:t>This Work Program aims to:</w:t>
      </w:r>
    </w:p>
    <w:p w:rsidR="00280625" w:rsidRPr="00280625" w:rsidRDefault="007F39F6" w:rsidP="00280625">
      <w:pPr>
        <w:pStyle w:val="ListParagraph"/>
        <w:numPr>
          <w:ilvl w:val="1"/>
          <w:numId w:val="1"/>
        </w:numPr>
        <w:jc w:val="both"/>
        <w:rPr>
          <w:rFonts w:ascii="Book Antiqua" w:hAnsi="Book Antiqua"/>
          <w:sz w:val="24"/>
          <w:szCs w:val="24"/>
        </w:rPr>
      </w:pPr>
      <w:r w:rsidRPr="00280625">
        <w:rPr>
          <w:rFonts w:ascii="Book Antiqua" w:hAnsi="Book Antiqua"/>
          <w:sz w:val="24"/>
          <w:szCs w:val="24"/>
        </w:rPr>
        <w:t>Mainstream Climate Action: Integrate ambitious, low-carbon, and climate-resilient approaches into all relevant regional, national, and sub-national policies, plans, and development strategies.</w:t>
      </w:r>
    </w:p>
    <w:p w:rsidR="00280625" w:rsidRDefault="007F39F6" w:rsidP="00280625">
      <w:pPr>
        <w:pStyle w:val="ListParagraph"/>
        <w:numPr>
          <w:ilvl w:val="1"/>
          <w:numId w:val="1"/>
        </w:numPr>
        <w:jc w:val="both"/>
        <w:rPr>
          <w:rFonts w:ascii="Book Antiqua" w:hAnsi="Book Antiqua"/>
          <w:sz w:val="24"/>
          <w:szCs w:val="24"/>
        </w:rPr>
      </w:pPr>
      <w:r w:rsidRPr="00280625">
        <w:rPr>
          <w:rFonts w:ascii="Book Antiqua" w:hAnsi="Book Antiqua"/>
          <w:sz w:val="24"/>
          <w:szCs w:val="24"/>
        </w:rPr>
        <w:t>Enhance Implementation &amp; Cooperation: Foster synergies and coordinated action among Member States to implement regional priorities, supported by harmonized standards, regular monitoring, and knowledge exchange.</w:t>
      </w:r>
    </w:p>
    <w:p w:rsidR="00280625" w:rsidRDefault="007F39F6" w:rsidP="00280625">
      <w:pPr>
        <w:pStyle w:val="ListParagraph"/>
        <w:numPr>
          <w:ilvl w:val="1"/>
          <w:numId w:val="1"/>
        </w:numPr>
        <w:jc w:val="both"/>
        <w:rPr>
          <w:rFonts w:ascii="Book Antiqua" w:hAnsi="Book Antiqua"/>
          <w:sz w:val="24"/>
          <w:szCs w:val="24"/>
        </w:rPr>
      </w:pPr>
      <w:r w:rsidRPr="00280625">
        <w:rPr>
          <w:rFonts w:ascii="Book Antiqua" w:hAnsi="Book Antiqua"/>
          <w:sz w:val="24"/>
          <w:szCs w:val="24"/>
        </w:rPr>
        <w:lastRenderedPageBreak/>
        <w:t>Mobilize Finance &amp; Investment: Catalyze public and private financial flows and technical assistance towards mitigation and adaptation projects, prioritizing a just transition and green recovery.</w:t>
      </w:r>
    </w:p>
    <w:p w:rsidR="00280625" w:rsidRDefault="007F39F6" w:rsidP="00280625">
      <w:pPr>
        <w:pStyle w:val="ListParagraph"/>
        <w:numPr>
          <w:ilvl w:val="1"/>
          <w:numId w:val="1"/>
        </w:numPr>
        <w:jc w:val="both"/>
        <w:rPr>
          <w:rFonts w:ascii="Book Antiqua" w:hAnsi="Book Antiqua"/>
          <w:sz w:val="24"/>
          <w:szCs w:val="24"/>
        </w:rPr>
      </w:pPr>
      <w:r w:rsidRPr="00280625">
        <w:rPr>
          <w:rFonts w:ascii="Book Antiqua" w:hAnsi="Book Antiqua"/>
          <w:sz w:val="24"/>
          <w:szCs w:val="24"/>
        </w:rPr>
        <w:t>Build Systemic Resilience: Strengthen the adaptive capacity of communities, economies, and ecosystems to withstand current and future climate impacts, with a focus on the most vulnerable.</w:t>
      </w:r>
    </w:p>
    <w:p w:rsidR="00280625" w:rsidRDefault="007F39F6" w:rsidP="00280625">
      <w:pPr>
        <w:pStyle w:val="ListParagraph"/>
        <w:numPr>
          <w:ilvl w:val="1"/>
          <w:numId w:val="1"/>
        </w:numPr>
        <w:jc w:val="both"/>
        <w:rPr>
          <w:rFonts w:ascii="Book Antiqua" w:hAnsi="Book Antiqua"/>
          <w:sz w:val="24"/>
          <w:szCs w:val="24"/>
        </w:rPr>
      </w:pPr>
      <w:r w:rsidRPr="00280625">
        <w:rPr>
          <w:rFonts w:ascii="Book Antiqua" w:hAnsi="Book Antiqua"/>
          <w:sz w:val="24"/>
          <w:szCs w:val="24"/>
        </w:rPr>
        <w:t>Empower Broader Society: Enable transformative actions by all stakeholders, including governments, the private sector, civil society, indigenous peoples, local communities, and youth.</w:t>
      </w:r>
    </w:p>
    <w:p w:rsidR="00D3219E" w:rsidRDefault="00D3219E" w:rsidP="00D3219E">
      <w:pPr>
        <w:pStyle w:val="ListParagraph"/>
        <w:jc w:val="both"/>
        <w:rPr>
          <w:rFonts w:ascii="Book Antiqua" w:hAnsi="Book Antiqua"/>
          <w:sz w:val="24"/>
          <w:szCs w:val="24"/>
        </w:rPr>
      </w:pPr>
    </w:p>
    <w:p w:rsidR="00D3219E" w:rsidRPr="00D3219E" w:rsidRDefault="007F39F6" w:rsidP="00D3219E">
      <w:pPr>
        <w:numPr>
          <w:ilvl w:val="0"/>
          <w:numId w:val="1"/>
        </w:numPr>
        <w:rPr>
          <w:rFonts w:ascii="Book Antiqua" w:hAnsi="Book Antiqua"/>
          <w:b/>
          <w:bCs/>
          <w:sz w:val="24"/>
          <w:szCs w:val="24"/>
        </w:rPr>
      </w:pPr>
      <w:r w:rsidRPr="00D3219E">
        <w:rPr>
          <w:rFonts w:ascii="Book Antiqua" w:hAnsi="Book Antiqua"/>
          <w:b/>
          <w:bCs/>
          <w:sz w:val="24"/>
          <w:szCs w:val="24"/>
        </w:rPr>
        <w:t xml:space="preserve">Implementation </w:t>
      </w:r>
      <w:r w:rsidR="00D3219E">
        <w:rPr>
          <w:rFonts w:ascii="Book Antiqua" w:hAnsi="Book Antiqua"/>
          <w:b/>
          <w:bCs/>
          <w:sz w:val="24"/>
          <w:szCs w:val="24"/>
        </w:rPr>
        <w:t xml:space="preserve">and </w:t>
      </w:r>
      <w:r w:rsidRPr="00D3219E">
        <w:rPr>
          <w:rFonts w:ascii="Book Antiqua" w:hAnsi="Book Antiqua"/>
          <w:b/>
          <w:bCs/>
          <w:sz w:val="24"/>
          <w:szCs w:val="24"/>
        </w:rPr>
        <w:t>Governance</w:t>
      </w:r>
    </w:p>
    <w:p w:rsidR="00280625" w:rsidRPr="00D3219E" w:rsidRDefault="007F39F6" w:rsidP="00D3219E">
      <w:pPr>
        <w:pStyle w:val="ListParagraph"/>
        <w:numPr>
          <w:ilvl w:val="1"/>
          <w:numId w:val="1"/>
        </w:numPr>
        <w:jc w:val="both"/>
        <w:rPr>
          <w:rFonts w:ascii="Book Antiqua" w:hAnsi="Book Antiqua"/>
          <w:sz w:val="24"/>
          <w:szCs w:val="24"/>
        </w:rPr>
      </w:pPr>
      <w:r w:rsidRPr="00D3219E">
        <w:rPr>
          <w:rFonts w:ascii="Book Antiqua" w:hAnsi="Book Antiqua"/>
          <w:b/>
          <w:bCs/>
          <w:sz w:val="24"/>
          <w:szCs w:val="24"/>
        </w:rPr>
        <w:t>Expert Group on Climate Change (EGCC):</w:t>
      </w:r>
      <w:r w:rsidRPr="00D3219E">
        <w:rPr>
          <w:rFonts w:ascii="Book Antiqua" w:hAnsi="Book Antiqua"/>
          <w:sz w:val="24"/>
          <w:szCs w:val="24"/>
        </w:rPr>
        <w:t xml:space="preserve"> Composed of national focal points, the EGCC will be the primary technical body for steering implementation, reviewing progress, and proposing adaptive management of this Work Program. It shall meet at least annually.</w:t>
      </w:r>
    </w:p>
    <w:p w:rsidR="00D3219E" w:rsidRDefault="007F39F6" w:rsidP="00D3219E">
      <w:pPr>
        <w:pStyle w:val="ListParagraph"/>
        <w:numPr>
          <w:ilvl w:val="1"/>
          <w:numId w:val="1"/>
        </w:numPr>
        <w:jc w:val="both"/>
        <w:rPr>
          <w:rFonts w:ascii="Book Antiqua" w:hAnsi="Book Antiqua"/>
          <w:sz w:val="24"/>
          <w:szCs w:val="24"/>
        </w:rPr>
      </w:pPr>
      <w:r w:rsidRPr="00D3219E">
        <w:rPr>
          <w:rFonts w:ascii="Book Antiqua" w:hAnsi="Book Antiqua"/>
          <w:b/>
          <w:bCs/>
          <w:sz w:val="24"/>
          <w:szCs w:val="24"/>
        </w:rPr>
        <w:t>Coordinating Role of the ECO Secretariat:</w:t>
      </w:r>
      <w:r w:rsidRPr="00D3219E">
        <w:rPr>
          <w:rFonts w:ascii="Book Antiqua" w:hAnsi="Book Antiqua"/>
          <w:sz w:val="24"/>
          <w:szCs w:val="24"/>
        </w:rPr>
        <w:t xml:space="preserve"> The Secretariat will facilitate the EGCC’s work, coordinate cross-</w:t>
      </w:r>
      <w:proofErr w:type="spellStart"/>
      <w:r w:rsidRPr="00D3219E">
        <w:rPr>
          <w:rFonts w:ascii="Book Antiqua" w:hAnsi="Book Antiqua"/>
          <w:sz w:val="24"/>
          <w:szCs w:val="24"/>
        </w:rPr>
        <w:t>sectoral</w:t>
      </w:r>
      <w:proofErr w:type="spellEnd"/>
      <w:r w:rsidRPr="00D3219E">
        <w:rPr>
          <w:rFonts w:ascii="Book Antiqua" w:hAnsi="Book Antiqua"/>
          <w:sz w:val="24"/>
          <w:szCs w:val="24"/>
        </w:rPr>
        <w:t xml:space="preserve"> collaboration, support reporting, and act as a liaison with international partners and agreements.</w:t>
      </w:r>
    </w:p>
    <w:p w:rsidR="00D3219E" w:rsidRDefault="007F39F6" w:rsidP="00D3219E">
      <w:pPr>
        <w:pStyle w:val="ListParagraph"/>
        <w:numPr>
          <w:ilvl w:val="1"/>
          <w:numId w:val="1"/>
        </w:numPr>
        <w:jc w:val="both"/>
        <w:rPr>
          <w:rFonts w:ascii="Book Antiqua" w:hAnsi="Book Antiqua"/>
          <w:sz w:val="24"/>
          <w:szCs w:val="24"/>
        </w:rPr>
      </w:pPr>
      <w:r w:rsidRPr="00D3219E">
        <w:rPr>
          <w:rFonts w:ascii="Book Antiqua" w:hAnsi="Book Antiqua"/>
          <w:b/>
          <w:bCs/>
          <w:sz w:val="24"/>
          <w:szCs w:val="24"/>
        </w:rPr>
        <w:t>Technical Support:</w:t>
      </w:r>
      <w:r w:rsidRPr="00D3219E">
        <w:rPr>
          <w:rFonts w:ascii="Book Antiqua" w:hAnsi="Book Antiqua"/>
          <w:sz w:val="24"/>
          <w:szCs w:val="24"/>
        </w:rPr>
        <w:t xml:space="preserve"> Implementation will be supported by relevant ECO agencies and institutions, including but not limited to the ECO Specialized Agencies in the fields of energy, agriculture, and disaster risk reduction, as well as through partnerships with accredited regional and international scientific bodies for capacity-building, technology transfer, joint research, and knowledge management.</w:t>
      </w:r>
    </w:p>
    <w:p w:rsidR="00D3219E" w:rsidRDefault="007F39F6" w:rsidP="00D3219E">
      <w:pPr>
        <w:pStyle w:val="ListParagraph"/>
        <w:numPr>
          <w:ilvl w:val="1"/>
          <w:numId w:val="1"/>
        </w:numPr>
        <w:jc w:val="both"/>
        <w:rPr>
          <w:rFonts w:ascii="Book Antiqua" w:hAnsi="Book Antiqua"/>
          <w:sz w:val="24"/>
          <w:szCs w:val="24"/>
        </w:rPr>
      </w:pPr>
      <w:r w:rsidRPr="00D3219E">
        <w:rPr>
          <w:rFonts w:ascii="Book Antiqua" w:hAnsi="Book Antiqua"/>
          <w:b/>
          <w:bCs/>
          <w:sz w:val="24"/>
          <w:szCs w:val="24"/>
        </w:rPr>
        <w:t>Monitoring, Evaluation &amp; Learning (MEL):</w:t>
      </w:r>
      <w:r w:rsidRPr="00D3219E">
        <w:rPr>
          <w:rFonts w:ascii="Book Antiqua" w:hAnsi="Book Antiqua"/>
          <w:sz w:val="24"/>
          <w:szCs w:val="24"/>
        </w:rPr>
        <w:t xml:space="preserve"> A light-touch MEL framework with clear, agreed-upon indicators will be established. Member States are encouraged to submit voluntary biennial progress summaries. The Secretariat will synthesize these into a regional progress report to foster transparency and shared learning.</w:t>
      </w:r>
    </w:p>
    <w:p w:rsidR="00D3219E" w:rsidRPr="00D3219E" w:rsidRDefault="007F39F6" w:rsidP="00D3219E">
      <w:pPr>
        <w:jc w:val="both"/>
        <w:rPr>
          <w:rFonts w:ascii="Book Antiqua" w:hAnsi="Book Antiqua"/>
          <w:b/>
          <w:bCs/>
          <w:sz w:val="24"/>
          <w:szCs w:val="24"/>
        </w:rPr>
      </w:pPr>
      <w:r w:rsidRPr="00D3219E">
        <w:rPr>
          <w:rFonts w:ascii="Book Antiqua" w:hAnsi="Book Antiqua"/>
          <w:sz w:val="24"/>
          <w:szCs w:val="24"/>
        </w:rPr>
        <w:br/>
      </w:r>
      <w:r w:rsidRPr="00D3219E">
        <w:rPr>
          <w:rFonts w:ascii="Book Antiqua" w:hAnsi="Book Antiqua"/>
          <w:b/>
          <w:bCs/>
          <w:sz w:val="24"/>
          <w:szCs w:val="24"/>
        </w:rPr>
        <w:t>3. Resource Mobilization Strategy</w:t>
      </w:r>
    </w:p>
    <w:p w:rsidR="00464C27" w:rsidRDefault="007F39F6" w:rsidP="00D3219E">
      <w:pPr>
        <w:jc w:val="both"/>
        <w:rPr>
          <w:rFonts w:ascii="Book Antiqua" w:hAnsi="Book Antiqua"/>
          <w:sz w:val="24"/>
          <w:szCs w:val="24"/>
        </w:rPr>
      </w:pPr>
      <w:r w:rsidRPr="00D3219E">
        <w:rPr>
          <w:rFonts w:ascii="Book Antiqua" w:hAnsi="Book Antiqua"/>
          <w:sz w:val="24"/>
          <w:szCs w:val="24"/>
        </w:rPr>
        <w:t>To translate ambition into action, ECO Member States, with support from the Secretariat, commit to:</w:t>
      </w:r>
    </w:p>
    <w:p w:rsidR="00464C27" w:rsidRDefault="007F39F6" w:rsidP="00464C27">
      <w:pPr>
        <w:jc w:val="both"/>
        <w:rPr>
          <w:rFonts w:ascii="Book Antiqua" w:hAnsi="Book Antiqua"/>
          <w:sz w:val="24"/>
          <w:szCs w:val="24"/>
        </w:rPr>
      </w:pPr>
      <w:r w:rsidRPr="00D3219E">
        <w:rPr>
          <w:rFonts w:ascii="Book Antiqua" w:hAnsi="Book Antiqua"/>
          <w:sz w:val="24"/>
          <w:szCs w:val="24"/>
        </w:rPr>
        <w:t xml:space="preserve">3.1. </w:t>
      </w:r>
      <w:r w:rsidRPr="00464C27">
        <w:rPr>
          <w:rFonts w:ascii="Book Antiqua" w:hAnsi="Book Antiqua"/>
          <w:b/>
          <w:bCs/>
          <w:sz w:val="24"/>
          <w:szCs w:val="24"/>
        </w:rPr>
        <w:t>Developing a Joint Resource Mobilization Plan:</w:t>
      </w:r>
      <w:r w:rsidRPr="00D3219E">
        <w:rPr>
          <w:rFonts w:ascii="Book Antiqua" w:hAnsi="Book Antiqua"/>
          <w:sz w:val="24"/>
          <w:szCs w:val="24"/>
        </w:rPr>
        <w:t xml:space="preserve"> This plan will identify priority projects and map them onto potential funding sources, including:</w:t>
      </w:r>
    </w:p>
    <w:p w:rsidR="00464C27" w:rsidRDefault="00464C27" w:rsidP="00464C27">
      <w:pPr>
        <w:jc w:val="both"/>
        <w:rPr>
          <w:rFonts w:ascii="Book Antiqua" w:hAnsi="Book Antiqua"/>
          <w:sz w:val="24"/>
          <w:szCs w:val="24"/>
        </w:rPr>
      </w:pPr>
      <w:r>
        <w:rPr>
          <w:rFonts w:ascii="Book Antiqua" w:hAnsi="Book Antiqua"/>
          <w:sz w:val="24"/>
          <w:szCs w:val="24"/>
        </w:rPr>
        <w:t xml:space="preserve">- </w:t>
      </w:r>
      <w:r w:rsidR="007F39F6" w:rsidRPr="00D3219E">
        <w:rPr>
          <w:rFonts w:ascii="Book Antiqua" w:hAnsi="Book Antiqua"/>
          <w:sz w:val="24"/>
          <w:szCs w:val="24"/>
        </w:rPr>
        <w:t>International Climate Finance (Green Climate Fund, Global Environment Facility, Adaptation Fund).</w:t>
      </w:r>
    </w:p>
    <w:p w:rsidR="00464C27" w:rsidRDefault="00464C27" w:rsidP="00464C27">
      <w:pPr>
        <w:jc w:val="both"/>
        <w:rPr>
          <w:rFonts w:ascii="Book Antiqua" w:hAnsi="Book Antiqua"/>
          <w:sz w:val="24"/>
          <w:szCs w:val="24"/>
        </w:rPr>
      </w:pPr>
      <w:r>
        <w:rPr>
          <w:rFonts w:ascii="Book Antiqua" w:hAnsi="Book Antiqua"/>
          <w:sz w:val="24"/>
          <w:szCs w:val="24"/>
        </w:rPr>
        <w:lastRenderedPageBreak/>
        <w:t xml:space="preserve">- </w:t>
      </w:r>
      <w:r w:rsidR="007F39F6" w:rsidRPr="00D3219E">
        <w:rPr>
          <w:rFonts w:ascii="Book Antiqua" w:hAnsi="Book Antiqua"/>
          <w:sz w:val="24"/>
          <w:szCs w:val="24"/>
        </w:rPr>
        <w:t>Multilateral and Regional Development Banks.</w:t>
      </w:r>
    </w:p>
    <w:p w:rsidR="00464C27" w:rsidRDefault="00464C27" w:rsidP="00464C27">
      <w:pPr>
        <w:jc w:val="both"/>
        <w:rPr>
          <w:rFonts w:ascii="Book Antiqua" w:hAnsi="Book Antiqua"/>
          <w:sz w:val="24"/>
          <w:szCs w:val="24"/>
        </w:rPr>
      </w:pPr>
      <w:r>
        <w:rPr>
          <w:rFonts w:ascii="Book Antiqua" w:hAnsi="Book Antiqua"/>
          <w:sz w:val="24"/>
          <w:szCs w:val="24"/>
        </w:rPr>
        <w:t xml:space="preserve">- </w:t>
      </w:r>
      <w:r w:rsidR="007F39F6" w:rsidRPr="00D3219E">
        <w:rPr>
          <w:rFonts w:ascii="Book Antiqua" w:hAnsi="Book Antiqua"/>
          <w:sz w:val="24"/>
          <w:szCs w:val="24"/>
        </w:rPr>
        <w:t>Bilateral donor agencies.</w:t>
      </w:r>
    </w:p>
    <w:p w:rsidR="00464C27" w:rsidRDefault="00464C27" w:rsidP="00464C27">
      <w:pPr>
        <w:jc w:val="both"/>
        <w:rPr>
          <w:rFonts w:ascii="Book Antiqua" w:hAnsi="Book Antiqua"/>
          <w:sz w:val="24"/>
          <w:szCs w:val="24"/>
        </w:rPr>
      </w:pPr>
      <w:r>
        <w:rPr>
          <w:rFonts w:ascii="Book Antiqua" w:hAnsi="Book Antiqua"/>
          <w:sz w:val="24"/>
          <w:szCs w:val="24"/>
        </w:rPr>
        <w:t xml:space="preserve">- </w:t>
      </w:r>
      <w:r w:rsidR="007F39F6" w:rsidRPr="00D3219E">
        <w:rPr>
          <w:rFonts w:ascii="Book Antiqua" w:hAnsi="Book Antiqua"/>
          <w:sz w:val="24"/>
          <w:szCs w:val="24"/>
        </w:rPr>
        <w:t>Private sector investment and blended finance mechanisms.</w:t>
      </w:r>
    </w:p>
    <w:p w:rsidR="00464C27" w:rsidRDefault="007F39F6" w:rsidP="00464C27">
      <w:pPr>
        <w:jc w:val="both"/>
        <w:rPr>
          <w:rFonts w:ascii="Book Antiqua" w:hAnsi="Book Antiqua"/>
          <w:sz w:val="24"/>
          <w:szCs w:val="24"/>
        </w:rPr>
      </w:pPr>
      <w:r w:rsidRPr="00D3219E">
        <w:rPr>
          <w:rFonts w:ascii="Book Antiqua" w:hAnsi="Book Antiqua"/>
          <w:sz w:val="24"/>
          <w:szCs w:val="24"/>
        </w:rPr>
        <w:t xml:space="preserve">3.2. </w:t>
      </w:r>
      <w:r w:rsidRPr="00464C27">
        <w:rPr>
          <w:rFonts w:ascii="Book Antiqua" w:hAnsi="Book Antiqua"/>
          <w:b/>
          <w:bCs/>
          <w:sz w:val="24"/>
          <w:szCs w:val="24"/>
        </w:rPr>
        <w:t>Exploring an ECO Climate Project Pipeline:</w:t>
      </w:r>
      <w:r w:rsidRPr="00D3219E">
        <w:rPr>
          <w:rFonts w:ascii="Book Antiqua" w:hAnsi="Book Antiqua"/>
          <w:sz w:val="24"/>
          <w:szCs w:val="24"/>
        </w:rPr>
        <w:t xml:space="preserve"> Creating a vetted portfolio of bankable regional and national projects to attract larger-scale investment.</w:t>
      </w:r>
    </w:p>
    <w:p w:rsidR="00464C27" w:rsidRDefault="007F39F6" w:rsidP="00464C27">
      <w:pPr>
        <w:jc w:val="both"/>
        <w:rPr>
          <w:rFonts w:ascii="Book Antiqua" w:hAnsi="Book Antiqua"/>
          <w:sz w:val="24"/>
          <w:szCs w:val="24"/>
        </w:rPr>
      </w:pPr>
      <w:r w:rsidRPr="00D3219E">
        <w:rPr>
          <w:rFonts w:ascii="Book Antiqua" w:hAnsi="Book Antiqua"/>
          <w:sz w:val="24"/>
          <w:szCs w:val="24"/>
        </w:rPr>
        <w:t xml:space="preserve">3.3. </w:t>
      </w:r>
      <w:r w:rsidRPr="00464C27">
        <w:rPr>
          <w:rFonts w:ascii="Book Antiqua" w:hAnsi="Book Antiqua"/>
          <w:b/>
          <w:bCs/>
          <w:sz w:val="24"/>
          <w:szCs w:val="24"/>
        </w:rPr>
        <w:t>Strengthening National Enabling Environments:</w:t>
      </w:r>
      <w:r w:rsidRPr="00D3219E">
        <w:rPr>
          <w:rFonts w:ascii="Book Antiqua" w:hAnsi="Book Antiqua"/>
          <w:sz w:val="24"/>
          <w:szCs w:val="24"/>
        </w:rPr>
        <w:t xml:space="preserve"> Supporting policy and regulatory reforms to de-risk and incentivize green investments.</w:t>
      </w:r>
    </w:p>
    <w:p w:rsidR="00464C27" w:rsidRPr="00464C27" w:rsidRDefault="007F39F6" w:rsidP="00464C27">
      <w:pPr>
        <w:jc w:val="both"/>
        <w:rPr>
          <w:rFonts w:ascii="Book Antiqua" w:hAnsi="Book Antiqua"/>
          <w:b/>
          <w:bCs/>
          <w:sz w:val="24"/>
          <w:szCs w:val="24"/>
        </w:rPr>
      </w:pPr>
      <w:r w:rsidRPr="00D3219E">
        <w:rPr>
          <w:rFonts w:ascii="Book Antiqua" w:hAnsi="Book Antiqua"/>
          <w:sz w:val="24"/>
          <w:szCs w:val="24"/>
        </w:rPr>
        <w:br/>
      </w:r>
      <w:r w:rsidRPr="00464C27">
        <w:rPr>
          <w:rFonts w:ascii="Book Antiqua" w:hAnsi="Book Antiqua"/>
          <w:b/>
          <w:bCs/>
          <w:sz w:val="24"/>
          <w:szCs w:val="24"/>
        </w:rPr>
        <w:t>4. Priority Areas for Action</w:t>
      </w:r>
    </w:p>
    <w:p w:rsidR="00464C27" w:rsidRDefault="007F39F6" w:rsidP="00464C27">
      <w:pPr>
        <w:jc w:val="both"/>
        <w:rPr>
          <w:rFonts w:ascii="Book Antiqua" w:hAnsi="Book Antiqua"/>
          <w:sz w:val="24"/>
          <w:szCs w:val="24"/>
        </w:rPr>
      </w:pPr>
      <w:r w:rsidRPr="00D3219E">
        <w:rPr>
          <w:rFonts w:ascii="Book Antiqua" w:hAnsi="Book Antiqua"/>
          <w:sz w:val="24"/>
          <w:szCs w:val="24"/>
        </w:rPr>
        <w:t>Member States are encouraged to collaborate and advance actions within the following interconnected pillars, tailoring them to national contexts:</w:t>
      </w:r>
    </w:p>
    <w:p w:rsidR="004C4FDB" w:rsidRDefault="004C4FDB" w:rsidP="00464C27">
      <w:pPr>
        <w:jc w:val="both"/>
        <w:rPr>
          <w:rFonts w:ascii="Book Antiqua" w:hAnsi="Book Antiqua"/>
          <w:b/>
          <w:bCs/>
          <w:sz w:val="24"/>
          <w:szCs w:val="24"/>
        </w:rPr>
      </w:pPr>
      <w:bookmarkStart w:id="0" w:name="_GoBack"/>
      <w:bookmarkEnd w:id="0"/>
    </w:p>
    <w:p w:rsidR="00464C27" w:rsidRDefault="007F39F6" w:rsidP="00464C27">
      <w:pPr>
        <w:jc w:val="both"/>
        <w:rPr>
          <w:rFonts w:ascii="Book Antiqua" w:hAnsi="Book Antiqua"/>
          <w:b/>
          <w:bCs/>
          <w:sz w:val="24"/>
          <w:szCs w:val="24"/>
        </w:rPr>
      </w:pPr>
      <w:r w:rsidRPr="00464C27">
        <w:rPr>
          <w:rFonts w:ascii="Book Antiqua" w:hAnsi="Book Antiqua"/>
          <w:b/>
          <w:bCs/>
          <w:sz w:val="24"/>
          <w:szCs w:val="24"/>
        </w:rPr>
        <w:t>Pillar A: Planning &amp; Enabling Environment</w:t>
      </w:r>
    </w:p>
    <w:p w:rsidR="00464C27" w:rsidRDefault="007F39F6" w:rsidP="00464C27">
      <w:pPr>
        <w:jc w:val="both"/>
        <w:rPr>
          <w:rFonts w:ascii="Book Antiqua" w:hAnsi="Book Antiqua"/>
          <w:sz w:val="24"/>
          <w:szCs w:val="24"/>
        </w:rPr>
      </w:pPr>
      <w:r w:rsidRPr="00464C27">
        <w:rPr>
          <w:rFonts w:ascii="Book Antiqua" w:hAnsi="Book Antiqua"/>
          <w:b/>
          <w:bCs/>
          <w:sz w:val="24"/>
          <w:szCs w:val="24"/>
        </w:rPr>
        <w:t>A.1. Enhanced NDCs &amp; Long-Term Strategies:</w:t>
      </w:r>
      <w:r w:rsidRPr="00D3219E">
        <w:rPr>
          <w:rFonts w:ascii="Book Antiqua" w:hAnsi="Book Antiqua"/>
          <w:sz w:val="24"/>
          <w:szCs w:val="24"/>
        </w:rPr>
        <w:t xml:space="preserve"> Support the formulation and implementation of increasingly ambitious and actionable Nationally Determined Contributions (NDCs) and Long-Term Low Emission Development Strategies (LT-LEDS).</w:t>
      </w:r>
    </w:p>
    <w:p w:rsidR="00464C27" w:rsidRDefault="007F39F6" w:rsidP="00464C27">
      <w:pPr>
        <w:jc w:val="both"/>
        <w:rPr>
          <w:rFonts w:ascii="Book Antiqua" w:hAnsi="Book Antiqua"/>
          <w:sz w:val="24"/>
          <w:szCs w:val="24"/>
        </w:rPr>
      </w:pPr>
      <w:r w:rsidRPr="00464C27">
        <w:rPr>
          <w:rFonts w:ascii="Book Antiqua" w:hAnsi="Book Antiqua"/>
          <w:b/>
          <w:bCs/>
          <w:sz w:val="24"/>
          <w:szCs w:val="24"/>
        </w:rPr>
        <w:t>A.2. Climate Governance:</w:t>
      </w:r>
      <w:r w:rsidRPr="00D3219E">
        <w:rPr>
          <w:rFonts w:ascii="Book Antiqua" w:hAnsi="Book Antiqua"/>
          <w:sz w:val="24"/>
          <w:szCs w:val="24"/>
        </w:rPr>
        <w:t xml:space="preserve"> Strengthen institutional, legal, and policy frameworks for integrated climate action, including effective carbon pricing, subsidy reform, and green fiscal policies.</w:t>
      </w:r>
    </w:p>
    <w:p w:rsidR="00464C27" w:rsidRDefault="007F39F6" w:rsidP="00F6580F">
      <w:pPr>
        <w:jc w:val="both"/>
        <w:rPr>
          <w:rFonts w:ascii="Book Antiqua" w:hAnsi="Book Antiqua"/>
          <w:sz w:val="24"/>
          <w:szCs w:val="24"/>
        </w:rPr>
      </w:pPr>
      <w:r w:rsidRPr="00464C27">
        <w:rPr>
          <w:rFonts w:ascii="Book Antiqua" w:hAnsi="Book Antiqua"/>
          <w:b/>
          <w:bCs/>
          <w:sz w:val="24"/>
          <w:szCs w:val="24"/>
        </w:rPr>
        <w:t xml:space="preserve">A.3. Green </w:t>
      </w:r>
      <w:r w:rsidR="00867A4D">
        <w:rPr>
          <w:rFonts w:ascii="Book Antiqua" w:hAnsi="Book Antiqua"/>
          <w:b/>
          <w:bCs/>
          <w:sz w:val="24"/>
          <w:szCs w:val="24"/>
        </w:rPr>
        <w:t>and</w:t>
      </w:r>
      <w:r w:rsidRPr="00464C27">
        <w:rPr>
          <w:rFonts w:ascii="Book Antiqua" w:hAnsi="Book Antiqua"/>
          <w:b/>
          <w:bCs/>
          <w:sz w:val="24"/>
          <w:szCs w:val="24"/>
        </w:rPr>
        <w:t xml:space="preserve"> Circular Economy:</w:t>
      </w:r>
      <w:r w:rsidRPr="00D3219E">
        <w:rPr>
          <w:rFonts w:ascii="Book Antiqua" w:hAnsi="Book Antiqua"/>
          <w:sz w:val="24"/>
          <w:szCs w:val="24"/>
        </w:rPr>
        <w:t xml:space="preserve"> Foster a systemic shift by mainstreaming circular economy principles and green growth strategies into economic recovery plans and </w:t>
      </w:r>
      <w:proofErr w:type="spellStart"/>
      <w:r w:rsidRPr="00D3219E">
        <w:rPr>
          <w:rFonts w:ascii="Book Antiqua" w:hAnsi="Book Antiqua"/>
          <w:sz w:val="24"/>
          <w:szCs w:val="24"/>
        </w:rPr>
        <w:t>sectoral</w:t>
      </w:r>
      <w:proofErr w:type="spellEnd"/>
      <w:r w:rsidRPr="00D3219E">
        <w:rPr>
          <w:rFonts w:ascii="Book Antiqua" w:hAnsi="Book Antiqua"/>
          <w:sz w:val="24"/>
          <w:szCs w:val="24"/>
        </w:rPr>
        <w:t xml:space="preserve"> policies, including through the promotion of</w:t>
      </w:r>
      <w:r w:rsidR="00F6580F" w:rsidRPr="00F6580F">
        <w:rPr>
          <w:rFonts w:ascii="Book Antiqua" w:hAnsi="Book Antiqua"/>
          <w:sz w:val="24"/>
          <w:szCs w:val="24"/>
        </w:rPr>
        <w:t xml:space="preserve"> the Regional Initiative on Resource Efficiency, Sustainability, and Circular Economy in the ECO Region (RESCUE)</w:t>
      </w:r>
      <w:r w:rsidRPr="00D3219E">
        <w:rPr>
          <w:rFonts w:ascii="Book Antiqua" w:hAnsi="Book Antiqua"/>
          <w:sz w:val="24"/>
          <w:szCs w:val="24"/>
        </w:rPr>
        <w:t>.</w:t>
      </w:r>
    </w:p>
    <w:p w:rsidR="004C4FDB" w:rsidRDefault="004C4FDB" w:rsidP="00867A4D">
      <w:pPr>
        <w:jc w:val="both"/>
        <w:rPr>
          <w:rFonts w:ascii="Book Antiqua" w:hAnsi="Book Antiqua"/>
          <w:b/>
          <w:bCs/>
          <w:sz w:val="24"/>
          <w:szCs w:val="24"/>
        </w:rPr>
      </w:pPr>
    </w:p>
    <w:p w:rsidR="00464C27" w:rsidRPr="00464C27" w:rsidRDefault="007F39F6" w:rsidP="00867A4D">
      <w:pPr>
        <w:jc w:val="both"/>
        <w:rPr>
          <w:rFonts w:ascii="Book Antiqua" w:hAnsi="Book Antiqua"/>
          <w:b/>
          <w:bCs/>
          <w:sz w:val="24"/>
          <w:szCs w:val="24"/>
        </w:rPr>
      </w:pPr>
      <w:r w:rsidRPr="00464C27">
        <w:rPr>
          <w:rFonts w:ascii="Book Antiqua" w:hAnsi="Book Antiqua"/>
          <w:b/>
          <w:bCs/>
          <w:sz w:val="24"/>
          <w:szCs w:val="24"/>
        </w:rPr>
        <w:t xml:space="preserve">Pillar B: Mitigation </w:t>
      </w:r>
      <w:r w:rsidR="00867A4D">
        <w:rPr>
          <w:rFonts w:ascii="Book Antiqua" w:hAnsi="Book Antiqua"/>
          <w:b/>
          <w:bCs/>
          <w:sz w:val="24"/>
          <w:szCs w:val="24"/>
        </w:rPr>
        <w:t>and</w:t>
      </w:r>
      <w:r w:rsidRPr="00464C27">
        <w:rPr>
          <w:rFonts w:ascii="Book Antiqua" w:hAnsi="Book Antiqua"/>
          <w:b/>
          <w:bCs/>
          <w:sz w:val="24"/>
          <w:szCs w:val="24"/>
        </w:rPr>
        <w:t xml:space="preserve"> Low-Carbon Transition</w:t>
      </w:r>
    </w:p>
    <w:p w:rsidR="0019382A" w:rsidRDefault="007F39F6" w:rsidP="00464C27">
      <w:pPr>
        <w:jc w:val="both"/>
        <w:rPr>
          <w:rFonts w:ascii="Book Antiqua" w:hAnsi="Book Antiqua"/>
          <w:sz w:val="24"/>
          <w:szCs w:val="24"/>
        </w:rPr>
      </w:pPr>
      <w:r w:rsidRPr="0019382A">
        <w:rPr>
          <w:rFonts w:ascii="Book Antiqua" w:hAnsi="Book Antiqua"/>
          <w:b/>
          <w:bCs/>
          <w:sz w:val="24"/>
          <w:szCs w:val="24"/>
        </w:rPr>
        <w:t>B.1. Energy Transformation:</w:t>
      </w:r>
      <w:r w:rsidRPr="00D3219E">
        <w:rPr>
          <w:rFonts w:ascii="Book Antiqua" w:hAnsi="Book Antiqua"/>
          <w:sz w:val="24"/>
          <w:szCs w:val="24"/>
        </w:rPr>
        <w:t xml:space="preserve"> Accelerate the deployment of renewable energy, enhance regional energy connectivity and trade, improve energy efficiency across all sectors, and phase out inefficient fossil fuel subsidies.</w:t>
      </w:r>
    </w:p>
    <w:p w:rsidR="0019382A" w:rsidRDefault="007F39F6" w:rsidP="00464C27">
      <w:pPr>
        <w:jc w:val="both"/>
        <w:rPr>
          <w:rFonts w:ascii="Book Antiqua" w:hAnsi="Book Antiqua"/>
          <w:sz w:val="24"/>
          <w:szCs w:val="24"/>
        </w:rPr>
      </w:pPr>
      <w:r w:rsidRPr="0019382A">
        <w:rPr>
          <w:rFonts w:ascii="Book Antiqua" w:hAnsi="Book Antiqua"/>
          <w:b/>
          <w:bCs/>
          <w:sz w:val="24"/>
          <w:szCs w:val="24"/>
        </w:rPr>
        <w:t>B.2. Sustainable Transport:</w:t>
      </w:r>
      <w:r w:rsidRPr="00D3219E">
        <w:rPr>
          <w:rFonts w:ascii="Book Antiqua" w:hAnsi="Book Antiqua"/>
          <w:sz w:val="24"/>
          <w:szCs w:val="24"/>
        </w:rPr>
        <w:t xml:space="preserve"> Promote fleet modernization, fuel switching to low-carbon alternatives, electrification of transport, and investment in high-quality public transit and non-motorized infrastructure.</w:t>
      </w:r>
    </w:p>
    <w:p w:rsidR="0019382A" w:rsidRDefault="007F39F6" w:rsidP="00464C27">
      <w:pPr>
        <w:jc w:val="both"/>
        <w:rPr>
          <w:rFonts w:ascii="Book Antiqua" w:hAnsi="Book Antiqua"/>
          <w:sz w:val="24"/>
          <w:szCs w:val="24"/>
        </w:rPr>
      </w:pPr>
      <w:r w:rsidRPr="0019382A">
        <w:rPr>
          <w:rFonts w:ascii="Book Antiqua" w:hAnsi="Book Antiqua"/>
          <w:b/>
          <w:bCs/>
          <w:sz w:val="24"/>
          <w:szCs w:val="24"/>
        </w:rPr>
        <w:lastRenderedPageBreak/>
        <w:t>B.3. Industry &amp; Cities:</w:t>
      </w:r>
      <w:r w:rsidRPr="00D3219E">
        <w:rPr>
          <w:rFonts w:ascii="Book Antiqua" w:hAnsi="Book Antiqua"/>
          <w:sz w:val="24"/>
          <w:szCs w:val="24"/>
        </w:rPr>
        <w:t xml:space="preserve"> Drive industrial </w:t>
      </w:r>
      <w:proofErr w:type="spellStart"/>
      <w:r w:rsidRPr="00D3219E">
        <w:rPr>
          <w:rFonts w:ascii="Book Antiqua" w:hAnsi="Book Antiqua"/>
          <w:sz w:val="24"/>
          <w:szCs w:val="24"/>
        </w:rPr>
        <w:t>decarbonization</w:t>
      </w:r>
      <w:proofErr w:type="spellEnd"/>
      <w:r w:rsidRPr="00D3219E">
        <w:rPr>
          <w:rFonts w:ascii="Book Antiqua" w:hAnsi="Book Antiqua"/>
          <w:sz w:val="24"/>
          <w:szCs w:val="24"/>
        </w:rPr>
        <w:t xml:space="preserve"> through innovation, energy efficiency, and sustainable supply chain management. Support cities in implementing integrated urban planning for low-carbon, resilient, and livable communities (e.g., green buildings, sustainable waste management).</w:t>
      </w:r>
    </w:p>
    <w:p w:rsidR="0019382A" w:rsidRDefault="007F39F6" w:rsidP="00464C27">
      <w:pPr>
        <w:jc w:val="both"/>
        <w:rPr>
          <w:rFonts w:ascii="Book Antiqua" w:hAnsi="Book Antiqua"/>
          <w:sz w:val="24"/>
          <w:szCs w:val="24"/>
        </w:rPr>
      </w:pPr>
      <w:r w:rsidRPr="0019382A">
        <w:rPr>
          <w:rFonts w:ascii="Book Antiqua" w:hAnsi="Book Antiqua"/>
          <w:b/>
          <w:bCs/>
          <w:sz w:val="24"/>
          <w:szCs w:val="24"/>
        </w:rPr>
        <w:t>B.4. Sustainable Land Use &amp; Food Systems:</w:t>
      </w:r>
      <w:r w:rsidRPr="00D3219E">
        <w:rPr>
          <w:rFonts w:ascii="Book Antiqua" w:hAnsi="Book Antiqua"/>
          <w:sz w:val="24"/>
          <w:szCs w:val="24"/>
        </w:rPr>
        <w:t xml:space="preserve"> Promote climate-smart agriculture, sustainable forest management, and food value chain interventions that reduce emissions, enhance carbon sinks, and improve food security.</w:t>
      </w:r>
    </w:p>
    <w:p w:rsidR="004C4FDB" w:rsidRDefault="004C4FDB" w:rsidP="00464C27">
      <w:pPr>
        <w:jc w:val="both"/>
        <w:rPr>
          <w:rFonts w:ascii="Book Antiqua" w:hAnsi="Book Antiqua"/>
          <w:b/>
          <w:bCs/>
          <w:sz w:val="24"/>
          <w:szCs w:val="24"/>
        </w:rPr>
      </w:pPr>
    </w:p>
    <w:p w:rsidR="0019382A" w:rsidRPr="0019382A" w:rsidRDefault="007F39F6" w:rsidP="00464C27">
      <w:pPr>
        <w:jc w:val="both"/>
        <w:rPr>
          <w:rFonts w:ascii="Book Antiqua" w:hAnsi="Book Antiqua"/>
          <w:b/>
          <w:bCs/>
          <w:sz w:val="24"/>
          <w:szCs w:val="24"/>
        </w:rPr>
      </w:pPr>
      <w:r w:rsidRPr="0019382A">
        <w:rPr>
          <w:rFonts w:ascii="Book Antiqua" w:hAnsi="Book Antiqua"/>
          <w:b/>
          <w:bCs/>
          <w:sz w:val="24"/>
          <w:szCs w:val="24"/>
        </w:rPr>
        <w:t>Pillar C: Adaptation &amp; Resilience</w:t>
      </w:r>
    </w:p>
    <w:p w:rsidR="00BD00AA" w:rsidRDefault="007F39F6" w:rsidP="0019382A">
      <w:pPr>
        <w:jc w:val="both"/>
        <w:rPr>
          <w:rFonts w:ascii="Book Antiqua" w:hAnsi="Book Antiqua"/>
          <w:sz w:val="24"/>
          <w:szCs w:val="24"/>
        </w:rPr>
      </w:pPr>
      <w:r w:rsidRPr="0019382A">
        <w:rPr>
          <w:rFonts w:ascii="Book Antiqua" w:hAnsi="Book Antiqua"/>
          <w:b/>
          <w:bCs/>
          <w:sz w:val="24"/>
          <w:szCs w:val="24"/>
        </w:rPr>
        <w:t>C.1. Water Security:</w:t>
      </w:r>
      <w:r w:rsidRPr="00D3219E">
        <w:rPr>
          <w:rFonts w:ascii="Book Antiqua" w:hAnsi="Book Antiqua"/>
          <w:sz w:val="24"/>
          <w:szCs w:val="24"/>
        </w:rPr>
        <w:t xml:space="preserve"> Cooperate on integrated water resource management, drought and flood resilience, and </w:t>
      </w:r>
      <w:proofErr w:type="spellStart"/>
      <w:r w:rsidRPr="00D3219E">
        <w:rPr>
          <w:rFonts w:ascii="Book Antiqua" w:hAnsi="Book Antiqua"/>
          <w:sz w:val="24"/>
          <w:szCs w:val="24"/>
        </w:rPr>
        <w:t>transboundary</w:t>
      </w:r>
      <w:proofErr w:type="spellEnd"/>
      <w:r w:rsidRPr="00D3219E">
        <w:rPr>
          <w:rFonts w:ascii="Book Antiqua" w:hAnsi="Book Antiqua"/>
          <w:sz w:val="24"/>
          <w:szCs w:val="24"/>
        </w:rPr>
        <w:t xml:space="preserve"> water governance.</w:t>
      </w:r>
    </w:p>
    <w:p w:rsidR="00BD00AA" w:rsidRDefault="007F39F6" w:rsidP="0019382A">
      <w:pPr>
        <w:jc w:val="both"/>
        <w:rPr>
          <w:rFonts w:ascii="Book Antiqua" w:hAnsi="Book Antiqua"/>
          <w:sz w:val="24"/>
          <w:szCs w:val="24"/>
        </w:rPr>
      </w:pPr>
      <w:r w:rsidRPr="0019382A">
        <w:rPr>
          <w:rFonts w:ascii="Book Antiqua" w:hAnsi="Book Antiqua"/>
          <w:b/>
          <w:bCs/>
          <w:sz w:val="24"/>
          <w:szCs w:val="24"/>
        </w:rPr>
        <w:t>C.2. Climate &amp; Health:</w:t>
      </w:r>
      <w:r w:rsidRPr="00D3219E">
        <w:rPr>
          <w:rFonts w:ascii="Book Antiqua" w:hAnsi="Book Antiqua"/>
          <w:sz w:val="24"/>
          <w:szCs w:val="24"/>
        </w:rPr>
        <w:t xml:space="preserve"> Develop early warning systems and preparedness plans for climate-sensitive health risks (e.g., </w:t>
      </w:r>
      <w:r w:rsidR="0019382A" w:rsidRPr="00D3219E">
        <w:rPr>
          <w:rFonts w:ascii="Book Antiqua" w:hAnsi="Book Antiqua"/>
          <w:sz w:val="24"/>
          <w:szCs w:val="24"/>
        </w:rPr>
        <w:t>heat waves</w:t>
      </w:r>
      <w:r w:rsidRPr="00D3219E">
        <w:rPr>
          <w:rFonts w:ascii="Book Antiqua" w:hAnsi="Book Antiqua"/>
          <w:sz w:val="24"/>
          <w:szCs w:val="24"/>
        </w:rPr>
        <w:t>, vector-borne diseases).</w:t>
      </w:r>
    </w:p>
    <w:p w:rsidR="00BD00AA" w:rsidRDefault="007F39F6" w:rsidP="0019382A">
      <w:pPr>
        <w:jc w:val="both"/>
        <w:rPr>
          <w:rFonts w:ascii="Book Antiqua" w:hAnsi="Book Antiqua"/>
          <w:sz w:val="24"/>
          <w:szCs w:val="24"/>
        </w:rPr>
      </w:pPr>
      <w:r w:rsidRPr="0019382A">
        <w:rPr>
          <w:rFonts w:ascii="Book Antiqua" w:hAnsi="Book Antiqua"/>
          <w:b/>
          <w:bCs/>
          <w:sz w:val="24"/>
          <w:szCs w:val="24"/>
        </w:rPr>
        <w:t>C.3. Ecosystem-based Adaptation:</w:t>
      </w:r>
      <w:r w:rsidRPr="00D3219E">
        <w:rPr>
          <w:rFonts w:ascii="Book Antiqua" w:hAnsi="Book Antiqua"/>
          <w:sz w:val="24"/>
          <w:szCs w:val="24"/>
        </w:rPr>
        <w:t xml:space="preserve"> Protect, restore, and sustainably manage natural ecosystems (mountains, </w:t>
      </w:r>
      <w:proofErr w:type="spellStart"/>
      <w:r w:rsidRPr="00D3219E">
        <w:rPr>
          <w:rFonts w:ascii="Book Antiqua" w:hAnsi="Book Antiqua"/>
          <w:sz w:val="24"/>
          <w:szCs w:val="24"/>
        </w:rPr>
        <w:t>drylands</w:t>
      </w:r>
      <w:proofErr w:type="spellEnd"/>
      <w:r w:rsidRPr="00D3219E">
        <w:rPr>
          <w:rFonts w:ascii="Book Antiqua" w:hAnsi="Book Antiqua"/>
          <w:sz w:val="24"/>
          <w:szCs w:val="24"/>
        </w:rPr>
        <w:t xml:space="preserve">, </w:t>
      </w:r>
      <w:proofErr w:type="gramStart"/>
      <w:r w:rsidRPr="00D3219E">
        <w:rPr>
          <w:rFonts w:ascii="Book Antiqua" w:hAnsi="Book Antiqua"/>
          <w:sz w:val="24"/>
          <w:szCs w:val="24"/>
        </w:rPr>
        <w:t>coastal</w:t>
      </w:r>
      <w:proofErr w:type="gramEnd"/>
      <w:r w:rsidRPr="00D3219E">
        <w:rPr>
          <w:rFonts w:ascii="Book Antiqua" w:hAnsi="Book Antiqua"/>
          <w:sz w:val="24"/>
          <w:szCs w:val="24"/>
        </w:rPr>
        <w:t xml:space="preserve"> zones) as critical infrastructure for resilience.</w:t>
      </w:r>
    </w:p>
    <w:p w:rsidR="0019382A" w:rsidRPr="0019382A" w:rsidRDefault="007F39F6" w:rsidP="0019382A">
      <w:pPr>
        <w:jc w:val="both"/>
        <w:rPr>
          <w:rFonts w:ascii="Book Antiqua" w:hAnsi="Book Antiqua"/>
          <w:b/>
          <w:bCs/>
          <w:sz w:val="24"/>
          <w:szCs w:val="24"/>
        </w:rPr>
      </w:pPr>
      <w:r w:rsidRPr="00D3219E">
        <w:rPr>
          <w:rFonts w:ascii="Book Antiqua" w:hAnsi="Book Antiqua"/>
          <w:sz w:val="24"/>
          <w:szCs w:val="24"/>
        </w:rPr>
        <w:br/>
      </w:r>
      <w:r w:rsidRPr="0019382A">
        <w:rPr>
          <w:rFonts w:ascii="Book Antiqua" w:hAnsi="Book Antiqua"/>
          <w:b/>
          <w:bCs/>
          <w:sz w:val="24"/>
          <w:szCs w:val="24"/>
        </w:rPr>
        <w:t>Pillar D: Cross-Cutting Support</w:t>
      </w:r>
    </w:p>
    <w:p w:rsidR="0019382A" w:rsidRDefault="007F39F6" w:rsidP="0019382A">
      <w:pPr>
        <w:jc w:val="both"/>
        <w:rPr>
          <w:rFonts w:ascii="Book Antiqua" w:hAnsi="Book Antiqua"/>
          <w:sz w:val="24"/>
          <w:szCs w:val="24"/>
        </w:rPr>
      </w:pPr>
      <w:r w:rsidRPr="0019382A">
        <w:rPr>
          <w:rFonts w:ascii="Book Antiqua" w:hAnsi="Book Antiqua"/>
          <w:b/>
          <w:bCs/>
          <w:sz w:val="24"/>
          <w:szCs w:val="24"/>
        </w:rPr>
        <w:t>D.1. Data, Knowledge &amp; CEPA:</w:t>
      </w:r>
      <w:r w:rsidRPr="00D3219E">
        <w:rPr>
          <w:rFonts w:ascii="Book Antiqua" w:hAnsi="Book Antiqua"/>
          <w:sz w:val="24"/>
          <w:szCs w:val="24"/>
        </w:rPr>
        <w:t xml:space="preserve"> Establish a regional platform for sharing climate data, best practices, and technologies. Implement robust Communication, Education, and Public Awareness (CEPA) programs, respecting and integrating Traditional</w:t>
      </w:r>
      <w:r w:rsidR="0019382A">
        <w:rPr>
          <w:rFonts w:ascii="Book Antiqua" w:hAnsi="Book Antiqua"/>
          <w:sz w:val="24"/>
          <w:szCs w:val="24"/>
        </w:rPr>
        <w:t xml:space="preserve"> Knowledge (TK).</w:t>
      </w:r>
      <w:r w:rsidR="0019382A">
        <w:rPr>
          <w:rFonts w:ascii="Book Antiqua" w:hAnsi="Book Antiqua"/>
          <w:sz w:val="24"/>
          <w:szCs w:val="24"/>
        </w:rPr>
        <w:br/>
      </w:r>
      <w:r w:rsidRPr="0019382A">
        <w:rPr>
          <w:rFonts w:ascii="Book Antiqua" w:hAnsi="Book Antiqua"/>
          <w:b/>
          <w:bCs/>
          <w:sz w:val="24"/>
          <w:szCs w:val="24"/>
        </w:rPr>
        <w:t>D.2. Inclusive Participation:</w:t>
      </w:r>
      <w:r w:rsidRPr="00D3219E">
        <w:rPr>
          <w:rFonts w:ascii="Book Antiqua" w:hAnsi="Book Antiqua"/>
          <w:sz w:val="24"/>
          <w:szCs w:val="24"/>
        </w:rPr>
        <w:t xml:space="preserve"> Ensure the full and meaningful participation of all stakeholders, including sub-national authorities, indigenous peoples, local communities, and the private sector, in climate decision-making and action.</w:t>
      </w:r>
    </w:p>
    <w:p w:rsidR="0019382A" w:rsidRDefault="007F39F6" w:rsidP="0019382A">
      <w:pPr>
        <w:jc w:val="both"/>
        <w:rPr>
          <w:rFonts w:ascii="Book Antiqua" w:hAnsi="Book Antiqua"/>
          <w:sz w:val="24"/>
          <w:szCs w:val="24"/>
        </w:rPr>
      </w:pPr>
      <w:r w:rsidRPr="0019382A">
        <w:rPr>
          <w:rFonts w:ascii="Book Antiqua" w:hAnsi="Book Antiqua"/>
          <w:b/>
          <w:bCs/>
          <w:sz w:val="24"/>
          <w:szCs w:val="24"/>
        </w:rPr>
        <w:t>D.3. Global &amp; Regional Solidarity:</w:t>
      </w:r>
      <w:r w:rsidRPr="00D3219E">
        <w:rPr>
          <w:rFonts w:ascii="Book Antiqua" w:hAnsi="Book Antiqua"/>
          <w:sz w:val="24"/>
          <w:szCs w:val="24"/>
        </w:rPr>
        <w:t xml:space="preserve"> Enhance coordination in international forums, including through pre-COP regional consultations, to share experiences and develop common positions where feasible, amplifying the ECO region's voice.</w:t>
      </w:r>
    </w:p>
    <w:p w:rsidR="002D7D31" w:rsidRPr="00D3219E" w:rsidRDefault="007F39F6" w:rsidP="0019382A">
      <w:pPr>
        <w:jc w:val="both"/>
        <w:rPr>
          <w:rFonts w:ascii="Book Antiqua" w:hAnsi="Book Antiqua"/>
          <w:sz w:val="24"/>
          <w:szCs w:val="24"/>
        </w:rPr>
      </w:pPr>
      <w:r w:rsidRPr="00D3219E">
        <w:rPr>
          <w:rFonts w:ascii="Book Antiqua" w:hAnsi="Book Antiqua"/>
          <w:sz w:val="24"/>
          <w:szCs w:val="24"/>
        </w:rPr>
        <w:t>---</w:t>
      </w:r>
      <w:r w:rsidRPr="00D3219E">
        <w:rPr>
          <w:rFonts w:ascii="Book Antiqua" w:hAnsi="Book Antiqua"/>
          <w:sz w:val="24"/>
          <w:szCs w:val="24"/>
        </w:rPr>
        <w:br/>
      </w:r>
      <w:r w:rsidRPr="00D3219E">
        <w:rPr>
          <w:rFonts w:ascii="Book Antiqua" w:hAnsi="Book Antiqua"/>
          <w:sz w:val="24"/>
          <w:szCs w:val="24"/>
        </w:rPr>
        <w:br/>
        <w:t>This Work Program shall be reviewed periodically by the Expert Group on Climate Change to ensure its continued relevance and effectiveness in light of scientific developments and evolving global commitments.</w:t>
      </w:r>
    </w:p>
    <w:sectPr w:rsidR="002D7D31" w:rsidRPr="00D321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586" w:rsidRDefault="00B03586" w:rsidP="0019382A">
      <w:pPr>
        <w:spacing w:after="0" w:line="240" w:lineRule="auto"/>
      </w:pPr>
      <w:r>
        <w:separator/>
      </w:r>
    </w:p>
  </w:endnote>
  <w:endnote w:type="continuationSeparator" w:id="0">
    <w:p w:rsidR="00B03586" w:rsidRDefault="00B03586" w:rsidP="0019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82A" w:rsidRDefault="001938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861310"/>
      <w:docPartObj>
        <w:docPartGallery w:val="Page Numbers (Bottom of Page)"/>
        <w:docPartUnique/>
      </w:docPartObj>
    </w:sdtPr>
    <w:sdtEndPr>
      <w:rPr>
        <w:noProof/>
      </w:rPr>
    </w:sdtEndPr>
    <w:sdtContent>
      <w:p w:rsidR="0019382A" w:rsidRDefault="0019382A">
        <w:pPr>
          <w:pStyle w:val="Footer"/>
          <w:jc w:val="center"/>
        </w:pPr>
        <w:r>
          <w:fldChar w:fldCharType="begin"/>
        </w:r>
        <w:r>
          <w:instrText xml:space="preserve"> PAGE   \* MERGEFORMAT </w:instrText>
        </w:r>
        <w:r>
          <w:fldChar w:fldCharType="separate"/>
        </w:r>
        <w:r w:rsidR="00F6580F">
          <w:rPr>
            <w:noProof/>
          </w:rPr>
          <w:t>4</w:t>
        </w:r>
        <w:r>
          <w:rPr>
            <w:noProof/>
          </w:rPr>
          <w:fldChar w:fldCharType="end"/>
        </w:r>
      </w:p>
    </w:sdtContent>
  </w:sdt>
  <w:p w:rsidR="0019382A" w:rsidRDefault="001938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82A" w:rsidRDefault="00193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586" w:rsidRDefault="00B03586" w:rsidP="0019382A">
      <w:pPr>
        <w:spacing w:after="0" w:line="240" w:lineRule="auto"/>
      </w:pPr>
      <w:r>
        <w:separator/>
      </w:r>
    </w:p>
  </w:footnote>
  <w:footnote w:type="continuationSeparator" w:id="0">
    <w:p w:rsidR="00B03586" w:rsidRDefault="00B03586" w:rsidP="00193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82A" w:rsidRDefault="001938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344" w:rsidRDefault="00C36344" w:rsidP="00C36344">
    <w:pPr>
      <w:pStyle w:val="Header"/>
      <w:jc w:val="right"/>
      <w:rPr>
        <w:i/>
        <w:iCs/>
        <w:sz w:val="20"/>
        <w:szCs w:val="20"/>
      </w:rPr>
    </w:pPr>
    <w:r>
      <w:rPr>
        <w:i/>
        <w:iCs/>
        <w:sz w:val="20"/>
        <w:szCs w:val="20"/>
      </w:rPr>
      <w:t>As</w:t>
    </w:r>
    <w:r>
      <w:rPr>
        <w:rFonts w:ascii="Book Antiqua" w:hAnsi="Book Antiqua"/>
        <w:i/>
        <w:iCs/>
        <w:sz w:val="20"/>
        <w:szCs w:val="20"/>
      </w:rPr>
      <w:t xml:space="preserve"> </w:t>
    </w:r>
    <w:r>
      <w:rPr>
        <w:i/>
        <w:iCs/>
        <w:sz w:val="20"/>
        <w:szCs w:val="20"/>
      </w:rPr>
      <w:t>of 26 March 2026</w:t>
    </w:r>
  </w:p>
  <w:p w:rsidR="0019382A" w:rsidRDefault="001938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82A" w:rsidRDefault="00193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D04759"/>
    <w:multiLevelType w:val="multilevel"/>
    <w:tmpl w:val="E0362E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3E"/>
    <w:rsid w:val="00095D28"/>
    <w:rsid w:val="0019382A"/>
    <w:rsid w:val="00280625"/>
    <w:rsid w:val="002C36BF"/>
    <w:rsid w:val="002D7D31"/>
    <w:rsid w:val="00345269"/>
    <w:rsid w:val="003C4DF8"/>
    <w:rsid w:val="00464C27"/>
    <w:rsid w:val="00484B3E"/>
    <w:rsid w:val="004C4FDB"/>
    <w:rsid w:val="0061048D"/>
    <w:rsid w:val="00674FC0"/>
    <w:rsid w:val="007F39F6"/>
    <w:rsid w:val="008463BA"/>
    <w:rsid w:val="00867A4D"/>
    <w:rsid w:val="00B03586"/>
    <w:rsid w:val="00BD00AA"/>
    <w:rsid w:val="00C36344"/>
    <w:rsid w:val="00D3219E"/>
    <w:rsid w:val="00F65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AF878-3187-4A97-A58E-816898F7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625"/>
    <w:pPr>
      <w:ind w:left="720"/>
      <w:contextualSpacing/>
    </w:pPr>
  </w:style>
  <w:style w:type="paragraph" w:styleId="Header">
    <w:name w:val="header"/>
    <w:basedOn w:val="Normal"/>
    <w:link w:val="HeaderChar"/>
    <w:uiPriority w:val="99"/>
    <w:unhideWhenUsed/>
    <w:rsid w:val="00193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82A"/>
  </w:style>
  <w:style w:type="paragraph" w:styleId="Footer">
    <w:name w:val="footer"/>
    <w:basedOn w:val="Normal"/>
    <w:link w:val="FooterChar"/>
    <w:uiPriority w:val="99"/>
    <w:unhideWhenUsed/>
    <w:rsid w:val="00193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Morteza Khansari Bozorgi</dc:creator>
  <cp:keywords/>
  <dc:description/>
  <cp:lastModifiedBy>Morteza Khansari Bozorgi</cp:lastModifiedBy>
  <cp:revision>12</cp:revision>
  <dcterms:created xsi:type="dcterms:W3CDTF">2026-02-09T10:16:00Z</dcterms:created>
  <dcterms:modified xsi:type="dcterms:W3CDTF">2026-03-29T09:51:00Z</dcterms:modified>
</cp:coreProperties>
</file>