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E93BB" w14:textId="77777777" w:rsidR="002B0287" w:rsidRPr="009A0082" w:rsidRDefault="001D6BC6" w:rsidP="001A16E7">
      <w:pPr>
        <w:spacing w:line="360" w:lineRule="auto"/>
        <w:ind w:right="4"/>
        <w:jc w:val="center"/>
        <w:rPr>
          <w:rFonts w:asciiTheme="majorBidi" w:eastAsia="Calibri" w:hAnsiTheme="majorBidi" w:cstheme="majorBidi"/>
          <w:b/>
          <w:bCs/>
          <w:sz w:val="44"/>
          <w:szCs w:val="44"/>
          <w:lang w:bidi="fa-IR"/>
        </w:rPr>
      </w:pPr>
      <w:r w:rsidRPr="009A0082">
        <w:rPr>
          <w:rFonts w:asciiTheme="majorBidi" w:eastAsia="Calibr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1C9221E4" wp14:editId="2D2AE8F1">
            <wp:simplePos x="0" y="0"/>
            <wp:positionH relativeFrom="column">
              <wp:posOffset>-364560</wp:posOffset>
            </wp:positionH>
            <wp:positionV relativeFrom="paragraph">
              <wp:posOffset>-45710</wp:posOffset>
            </wp:positionV>
            <wp:extent cx="2213865" cy="684756"/>
            <wp:effectExtent l="0" t="0" r="0" b="1270"/>
            <wp:wrapNone/>
            <wp:docPr id="2" name="Picture 3" descr="ECO_Folder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O_FolderDe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450" cy="69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63936" w14:textId="77777777" w:rsidR="002B0287" w:rsidRDefault="002B0287" w:rsidP="001A16E7">
      <w:pPr>
        <w:spacing w:line="360" w:lineRule="auto"/>
        <w:ind w:right="4"/>
        <w:jc w:val="center"/>
        <w:rPr>
          <w:rFonts w:asciiTheme="majorBidi" w:eastAsia="Calibri" w:hAnsiTheme="majorBidi" w:cstheme="majorBidi"/>
          <w:b/>
          <w:bCs/>
          <w:sz w:val="44"/>
          <w:szCs w:val="44"/>
        </w:rPr>
      </w:pPr>
    </w:p>
    <w:p w14:paraId="43B36E20" w14:textId="6AFA802C" w:rsidR="000A574E" w:rsidRPr="009A0082" w:rsidRDefault="000A574E" w:rsidP="00ED7825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9A0082">
        <w:rPr>
          <w:rFonts w:asciiTheme="majorBidi" w:eastAsia="Arial" w:hAnsiTheme="majorBidi" w:cstheme="majorBidi"/>
          <w:b/>
          <w:bCs/>
          <w:color w:val="252525"/>
          <w:u w:val="single"/>
        </w:rPr>
        <w:t>DRAFT ROADMAP</w:t>
      </w:r>
    </w:p>
    <w:p w14:paraId="559498C4" w14:textId="5A2D9DBF" w:rsidR="000A574E" w:rsidRPr="009A0082" w:rsidRDefault="006C2329" w:rsidP="00974246">
      <w:pPr>
        <w:spacing w:before="120" w:line="271" w:lineRule="auto"/>
        <w:jc w:val="center"/>
        <w:rPr>
          <w:rFonts w:asciiTheme="majorBidi" w:hAnsiTheme="majorBidi" w:cstheme="majorBidi"/>
          <w:b/>
          <w:bCs/>
        </w:rPr>
      </w:pPr>
      <w:proofErr w:type="gramStart"/>
      <w:r>
        <w:rPr>
          <w:rFonts w:asciiTheme="majorBidi" w:hAnsiTheme="majorBidi" w:cstheme="majorBidi"/>
          <w:b/>
          <w:bCs/>
        </w:rPr>
        <w:t>f</w:t>
      </w:r>
      <w:r w:rsidR="000A574E" w:rsidRPr="009A0082">
        <w:rPr>
          <w:rFonts w:asciiTheme="majorBidi" w:hAnsiTheme="majorBidi" w:cstheme="majorBidi"/>
          <w:b/>
          <w:bCs/>
        </w:rPr>
        <w:t>or</w:t>
      </w:r>
      <w:proofErr w:type="gramEnd"/>
      <w:r w:rsidR="000A574E" w:rsidRPr="009A0082">
        <w:rPr>
          <w:rFonts w:asciiTheme="majorBidi" w:hAnsiTheme="majorBidi" w:cstheme="majorBidi"/>
          <w:b/>
          <w:bCs/>
        </w:rPr>
        <w:t xml:space="preserve"> the</w:t>
      </w:r>
    </w:p>
    <w:p w14:paraId="40B57A8F" w14:textId="5F70D216" w:rsidR="000A574E" w:rsidRPr="009A0082" w:rsidRDefault="000A574E" w:rsidP="000A574E">
      <w:pPr>
        <w:jc w:val="center"/>
        <w:rPr>
          <w:rFonts w:asciiTheme="majorBidi" w:hAnsiTheme="majorBidi" w:cstheme="majorBidi"/>
          <w:b/>
          <w:bCs/>
        </w:rPr>
      </w:pPr>
      <w:bookmarkStart w:id="0" w:name="_GoBack"/>
      <w:r w:rsidRPr="009A0082">
        <w:rPr>
          <w:rFonts w:asciiTheme="majorBidi" w:eastAsia="Arial" w:hAnsiTheme="majorBidi" w:cstheme="majorBidi"/>
          <w:b/>
          <w:bCs/>
          <w:color w:val="252525"/>
        </w:rPr>
        <w:t>ECO High-Level Dialogue Platform on Environmental Cooperation</w:t>
      </w:r>
      <w:r w:rsidR="00D703B4">
        <w:rPr>
          <w:rFonts w:asciiTheme="majorBidi" w:eastAsia="Arial" w:hAnsiTheme="majorBidi" w:cstheme="majorBidi"/>
          <w:b/>
          <w:bCs/>
          <w:color w:val="252525"/>
        </w:rPr>
        <w:t xml:space="preserve"> (HLDPE)</w:t>
      </w:r>
    </w:p>
    <w:bookmarkEnd w:id="0"/>
    <w:p w14:paraId="0D2B943F" w14:textId="77777777" w:rsidR="00444392" w:rsidRPr="009A0082" w:rsidRDefault="00444392" w:rsidP="000A574E">
      <w:pPr>
        <w:spacing w:line="270" w:lineRule="auto"/>
        <w:rPr>
          <w:rFonts w:asciiTheme="majorBidi" w:hAnsiTheme="majorBidi" w:cstheme="majorBidi"/>
        </w:rPr>
      </w:pPr>
    </w:p>
    <w:p w14:paraId="5BE2F5A0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</w:p>
    <w:p w14:paraId="2CF5D291" w14:textId="340B50A0" w:rsidR="000A574E" w:rsidRDefault="000A574E" w:rsidP="00ED7825">
      <w:pPr>
        <w:jc w:val="both"/>
        <w:rPr>
          <w:rFonts w:asciiTheme="majorBidi" w:eastAsia="Arial" w:hAnsiTheme="majorBidi" w:cstheme="majorBidi"/>
          <w:color w:val="252525"/>
        </w:rPr>
      </w:pPr>
      <w:r w:rsidRPr="009A0082">
        <w:rPr>
          <w:rFonts w:asciiTheme="majorBidi" w:eastAsia="Arial" w:hAnsiTheme="majorBidi" w:cstheme="majorBidi"/>
          <w:b/>
          <w:bCs/>
          <w:color w:val="252525"/>
        </w:rPr>
        <w:t>Purpose:</w:t>
      </w:r>
      <w:r w:rsidRPr="009A0082">
        <w:rPr>
          <w:rFonts w:asciiTheme="majorBidi" w:eastAsia="Arial" w:hAnsiTheme="majorBidi" w:cstheme="majorBidi"/>
          <w:color w:val="252525"/>
        </w:rPr>
        <w:t xml:space="preserve"> To illustrate a </w:t>
      </w:r>
      <w:r w:rsidR="006C2329">
        <w:rPr>
          <w:rFonts w:asciiTheme="majorBidi" w:eastAsia="Arial" w:hAnsiTheme="majorBidi" w:cstheme="majorBidi"/>
          <w:color w:val="252525"/>
        </w:rPr>
        <w:t xml:space="preserve">modality and </w:t>
      </w:r>
      <w:r w:rsidRPr="009A0082">
        <w:rPr>
          <w:rFonts w:asciiTheme="majorBidi" w:eastAsia="Arial" w:hAnsiTheme="majorBidi" w:cstheme="majorBidi"/>
          <w:color w:val="252525"/>
        </w:rPr>
        <w:t>practical functioning of the HLDP</w:t>
      </w:r>
      <w:r w:rsidR="006C2329">
        <w:rPr>
          <w:rFonts w:asciiTheme="majorBidi" w:eastAsia="Arial" w:hAnsiTheme="majorBidi" w:cstheme="majorBidi"/>
          <w:color w:val="252525"/>
        </w:rPr>
        <w:t>E</w:t>
      </w:r>
      <w:r w:rsidRPr="009A0082">
        <w:rPr>
          <w:rFonts w:asciiTheme="majorBidi" w:eastAsia="Arial" w:hAnsiTheme="majorBidi" w:cstheme="majorBidi"/>
          <w:color w:val="252525"/>
        </w:rPr>
        <w:t xml:space="preserve">, including </w:t>
      </w:r>
      <w:r w:rsidR="008B7619">
        <w:rPr>
          <w:rFonts w:asciiTheme="majorBidi" w:eastAsia="Arial" w:hAnsiTheme="majorBidi" w:cstheme="majorBidi"/>
          <w:color w:val="252525"/>
        </w:rPr>
        <w:t xml:space="preserve">its </w:t>
      </w:r>
      <w:r w:rsidRPr="009A0082">
        <w:rPr>
          <w:rFonts w:asciiTheme="majorBidi" w:eastAsia="Arial" w:hAnsiTheme="majorBidi" w:cstheme="majorBidi"/>
          <w:color w:val="252525"/>
        </w:rPr>
        <w:t xml:space="preserve">frequency, thematic </w:t>
      </w:r>
      <w:r w:rsidR="008B7619">
        <w:rPr>
          <w:rFonts w:asciiTheme="majorBidi" w:eastAsia="Arial" w:hAnsiTheme="majorBidi" w:cstheme="majorBidi"/>
          <w:color w:val="252525"/>
        </w:rPr>
        <w:t>priorities</w:t>
      </w:r>
      <w:r w:rsidRPr="009A0082">
        <w:rPr>
          <w:rFonts w:asciiTheme="majorBidi" w:eastAsia="Arial" w:hAnsiTheme="majorBidi" w:cstheme="majorBidi"/>
          <w:color w:val="252525"/>
        </w:rPr>
        <w:t xml:space="preserve">, chairmanship rotation, and </w:t>
      </w:r>
      <w:r w:rsidR="008B7619">
        <w:rPr>
          <w:rFonts w:asciiTheme="majorBidi" w:eastAsia="Arial" w:hAnsiTheme="majorBidi" w:cstheme="majorBidi"/>
          <w:color w:val="252525"/>
        </w:rPr>
        <w:t xml:space="preserve">linkages </w:t>
      </w:r>
      <w:r w:rsidR="006C2329">
        <w:rPr>
          <w:rFonts w:asciiTheme="majorBidi" w:eastAsia="Arial" w:hAnsiTheme="majorBidi" w:cstheme="majorBidi"/>
          <w:color w:val="252525"/>
        </w:rPr>
        <w:t>with the</w:t>
      </w:r>
      <w:r w:rsidRPr="009A0082">
        <w:rPr>
          <w:rFonts w:asciiTheme="majorBidi" w:eastAsia="Arial" w:hAnsiTheme="majorBidi" w:cstheme="majorBidi"/>
          <w:color w:val="252525"/>
        </w:rPr>
        <w:t xml:space="preserve"> ECO </w:t>
      </w:r>
      <w:r w:rsidR="008B7619">
        <w:rPr>
          <w:rFonts w:asciiTheme="majorBidi" w:eastAsia="Arial" w:hAnsiTheme="majorBidi" w:cstheme="majorBidi"/>
          <w:color w:val="252525"/>
        </w:rPr>
        <w:t>decision-making</w:t>
      </w:r>
      <w:r w:rsidR="00ED7825">
        <w:rPr>
          <w:rFonts w:asciiTheme="majorBidi" w:eastAsia="Arial" w:hAnsiTheme="majorBidi" w:cstheme="majorBidi"/>
          <w:color w:val="252525"/>
        </w:rPr>
        <w:t xml:space="preserve"> process, as discussed during the first HLDPE meeting in Astana on 23 April 2026. </w:t>
      </w:r>
    </w:p>
    <w:p w14:paraId="42C4D182" w14:textId="77777777" w:rsidR="006C2329" w:rsidRPr="009A0082" w:rsidRDefault="006C2329" w:rsidP="001D6BC6">
      <w:pPr>
        <w:jc w:val="both"/>
        <w:rPr>
          <w:rFonts w:asciiTheme="majorBidi" w:hAnsiTheme="majorBidi" w:cstheme="majorBidi"/>
        </w:rPr>
      </w:pPr>
    </w:p>
    <w:p w14:paraId="0F8EE14F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77665602" w14:textId="6685951C" w:rsidR="001D6BC6" w:rsidRPr="009A0082" w:rsidRDefault="001D6BC6" w:rsidP="001D6BC6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  <w:r w:rsidRPr="009A0082">
        <w:rPr>
          <w:rFonts w:asciiTheme="majorBidi" w:eastAsia="Arial" w:hAnsiTheme="majorBidi" w:cstheme="majorBidi"/>
          <w:b/>
          <w:bCs/>
          <w:color w:val="252525"/>
        </w:rPr>
        <w:t>1. Frequency</w:t>
      </w:r>
    </w:p>
    <w:p w14:paraId="2BFE816A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5DB78E8E" w14:textId="2DCD4A6A" w:rsidR="001D6BC6" w:rsidRPr="009A0082" w:rsidRDefault="005004B1" w:rsidP="009A0082">
      <w:pPr>
        <w:pStyle w:val="ListParagraph"/>
        <w:numPr>
          <w:ilvl w:val="0"/>
          <w:numId w:val="36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The </w:t>
      </w:r>
      <w:r w:rsidR="00BE4A10">
        <w:rPr>
          <w:rFonts w:asciiTheme="majorBidi" w:eastAsia="Arial" w:hAnsiTheme="majorBidi" w:cstheme="majorBidi"/>
          <w:color w:val="252525"/>
          <w:sz w:val="24"/>
          <w:szCs w:val="24"/>
        </w:rPr>
        <w:t>HLDPE shall convene a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>t least one in-person</w:t>
      </w:r>
      <w:r w:rsidR="00BE4A1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or 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>hybrid meeting per year.</w:t>
      </w:r>
    </w:p>
    <w:p w14:paraId="65E4CFA0" w14:textId="64B6D1F9" w:rsidR="001D6BC6" w:rsidRPr="009A0082" w:rsidRDefault="005004B1" w:rsidP="005004B1">
      <w:pPr>
        <w:pStyle w:val="ListParagraph"/>
        <w:numPr>
          <w:ilvl w:val="0"/>
          <w:numId w:val="36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>
        <w:rPr>
          <w:rFonts w:asciiTheme="majorBidi" w:eastAsia="Arial" w:hAnsiTheme="majorBidi" w:cstheme="majorBidi"/>
          <w:color w:val="252525"/>
          <w:sz w:val="24"/>
          <w:szCs w:val="24"/>
        </w:rPr>
        <w:t>V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>irtual thematic sessions (90</w:t>
      </w:r>
      <w:r w:rsidR="009A0082" w:rsidRPr="009A0082">
        <w:rPr>
          <w:rFonts w:asciiTheme="majorBidi" w:eastAsia="Arial" w:hAnsiTheme="majorBidi" w:cstheme="majorBidi"/>
          <w:color w:val="252525"/>
          <w:sz w:val="24"/>
          <w:szCs w:val="24"/>
        </w:rPr>
        <w:t>-120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minutes) </w:t>
      </w:r>
      <w:r w:rsidR="00BE4A1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may be organized 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>between annual meetings</w:t>
      </w: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 to maintain continuity and advance technical discussions</w:t>
      </w:r>
      <w:r w:rsidR="00BE4A1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. </w:t>
      </w:r>
    </w:p>
    <w:p w14:paraId="15FE1880" w14:textId="1C26D1F2" w:rsidR="001D6BC6" w:rsidRPr="009A0082" w:rsidRDefault="001D6BC6" w:rsidP="009A0082">
      <w:pPr>
        <w:pStyle w:val="ListParagraph"/>
        <w:numPr>
          <w:ilvl w:val="0"/>
          <w:numId w:val="36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 w:rsidRPr="009A0082">
        <w:rPr>
          <w:rFonts w:asciiTheme="majorBidi" w:eastAsia="Arial" w:hAnsiTheme="majorBidi" w:cstheme="majorBidi"/>
          <w:color w:val="252525"/>
          <w:sz w:val="24"/>
          <w:szCs w:val="24"/>
        </w:rPr>
        <w:t>Working language: English.</w:t>
      </w:r>
    </w:p>
    <w:p w14:paraId="4FFEA524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77122A38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  <w:r w:rsidRPr="009A0082">
        <w:rPr>
          <w:rFonts w:asciiTheme="majorBidi" w:eastAsia="Arial" w:hAnsiTheme="majorBidi" w:cstheme="majorBidi"/>
          <w:b/>
          <w:bCs/>
          <w:color w:val="252525"/>
        </w:rPr>
        <w:t>2. Chairmanship Rotation</w:t>
      </w:r>
    </w:p>
    <w:p w14:paraId="0EEAA5E0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5AEA3BD8" w14:textId="2D94F295" w:rsidR="001D6BC6" w:rsidRPr="00CA27E7" w:rsidRDefault="00A57F6D" w:rsidP="00501614">
      <w:pPr>
        <w:pStyle w:val="ListParagraph"/>
        <w:numPr>
          <w:ilvl w:val="0"/>
          <w:numId w:val="37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The chairmanship of the HLDPE shall </w:t>
      </w:r>
      <w:r w:rsidR="00B07244">
        <w:rPr>
          <w:rFonts w:asciiTheme="majorBidi" w:eastAsia="Arial" w:hAnsiTheme="majorBidi" w:cstheme="majorBidi"/>
          <w:color w:val="252525"/>
          <w:sz w:val="24"/>
          <w:szCs w:val="24"/>
        </w:rPr>
        <w:t xml:space="preserve">rotate annually among </w:t>
      </w:r>
      <w:r w:rsidR="00501614">
        <w:rPr>
          <w:rFonts w:asciiTheme="majorBidi" w:eastAsia="Arial" w:hAnsiTheme="majorBidi" w:cstheme="majorBidi"/>
          <w:color w:val="252525"/>
          <w:sz w:val="24"/>
          <w:szCs w:val="24"/>
        </w:rPr>
        <w:t>ECO</w:t>
      </w:r>
      <w:r w:rsidR="00B07244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Member State </w:t>
      </w:r>
      <w:r w:rsidR="00B07244">
        <w:rPr>
          <w:rFonts w:asciiTheme="majorBidi" w:eastAsia="Arial" w:hAnsiTheme="majorBidi" w:cstheme="majorBidi"/>
          <w:color w:val="252525"/>
          <w:sz w:val="24"/>
          <w:szCs w:val="24"/>
        </w:rPr>
        <w:t>in alphabetical order</w:t>
      </w:r>
      <w:r w:rsidR="005B7086">
        <w:rPr>
          <w:rFonts w:asciiTheme="majorBidi" w:eastAsia="Arial" w:hAnsiTheme="majorBidi" w:cstheme="majorBidi"/>
          <w:color w:val="252525"/>
          <w:sz w:val="24"/>
          <w:szCs w:val="24"/>
        </w:rPr>
        <w:t>.</w:t>
      </w:r>
    </w:p>
    <w:p w14:paraId="6706B385" w14:textId="7CB4575C" w:rsidR="001D6BC6" w:rsidRPr="009A0082" w:rsidRDefault="00A57F6D" w:rsidP="00501614">
      <w:pPr>
        <w:pStyle w:val="ListParagraph"/>
        <w:numPr>
          <w:ilvl w:val="0"/>
          <w:numId w:val="37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>
        <w:rPr>
          <w:rFonts w:asciiTheme="majorBidi" w:eastAsia="Arial" w:hAnsiTheme="majorBidi" w:cstheme="majorBidi"/>
          <w:color w:val="252525"/>
          <w:sz w:val="24"/>
          <w:szCs w:val="24"/>
        </w:rPr>
        <w:t>The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Republic of Uzbekistan </w:t>
      </w:r>
      <w:r>
        <w:rPr>
          <w:rFonts w:asciiTheme="majorBidi" w:eastAsia="Arial" w:hAnsiTheme="majorBidi" w:cstheme="majorBidi"/>
          <w:color w:val="252525"/>
          <w:sz w:val="24"/>
          <w:szCs w:val="24"/>
        </w:rPr>
        <w:t>serve</w:t>
      </w:r>
      <w:r w:rsidR="00501614">
        <w:rPr>
          <w:rFonts w:asciiTheme="majorBidi" w:eastAsia="Arial" w:hAnsiTheme="majorBidi" w:cstheme="majorBidi"/>
          <w:color w:val="252525"/>
          <w:sz w:val="24"/>
          <w:szCs w:val="24"/>
        </w:rPr>
        <w:t>s</w:t>
      </w: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 as the first </w:t>
      </w:r>
      <w:r w:rsidR="00501614">
        <w:rPr>
          <w:rFonts w:asciiTheme="majorBidi" w:eastAsia="Arial" w:hAnsiTheme="majorBidi" w:cstheme="majorBidi"/>
          <w:color w:val="252525"/>
          <w:sz w:val="24"/>
          <w:szCs w:val="24"/>
        </w:rPr>
        <w:t>C</w:t>
      </w:r>
      <w:r>
        <w:rPr>
          <w:rFonts w:asciiTheme="majorBidi" w:eastAsia="Arial" w:hAnsiTheme="majorBidi" w:cstheme="majorBidi"/>
          <w:color w:val="252525"/>
          <w:sz w:val="24"/>
          <w:szCs w:val="24"/>
        </w:rPr>
        <w:t>ha</w:t>
      </w:r>
      <w:r w:rsidR="00501614">
        <w:rPr>
          <w:rFonts w:asciiTheme="majorBidi" w:eastAsia="Arial" w:hAnsiTheme="majorBidi" w:cstheme="majorBidi"/>
          <w:color w:val="252525"/>
          <w:sz w:val="24"/>
          <w:szCs w:val="24"/>
        </w:rPr>
        <w:t>ir</w:t>
      </w: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 of the HLDPE</w:t>
      </w:r>
      <w:r w:rsidR="00B07244">
        <w:rPr>
          <w:rFonts w:asciiTheme="majorBidi" w:eastAsia="Arial" w:hAnsiTheme="majorBidi" w:cstheme="majorBidi"/>
          <w:color w:val="252525"/>
          <w:sz w:val="24"/>
          <w:szCs w:val="24"/>
        </w:rPr>
        <w:t>.</w:t>
      </w: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 </w:t>
      </w:r>
    </w:p>
    <w:p w14:paraId="3959A914" w14:textId="08DAC339" w:rsidR="001D6BC6" w:rsidRPr="009A0082" w:rsidRDefault="005B7086" w:rsidP="00501614">
      <w:pPr>
        <w:pStyle w:val="ListParagraph"/>
        <w:numPr>
          <w:ilvl w:val="0"/>
          <w:numId w:val="37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The </w:t>
      </w:r>
      <w:r w:rsidR="00501614">
        <w:rPr>
          <w:rFonts w:asciiTheme="majorBidi" w:eastAsia="Arial" w:hAnsiTheme="majorBidi" w:cstheme="majorBidi"/>
          <w:color w:val="252525"/>
          <w:sz w:val="24"/>
          <w:szCs w:val="24"/>
        </w:rPr>
        <w:t>Chair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 xml:space="preserve">, with Secretariat </w:t>
      </w:r>
      <w:r w:rsidR="00501614">
        <w:rPr>
          <w:rFonts w:asciiTheme="majorBidi" w:eastAsia="Arial" w:hAnsiTheme="majorBidi" w:cstheme="majorBidi"/>
          <w:color w:val="252525"/>
          <w:sz w:val="24"/>
          <w:szCs w:val="24"/>
        </w:rPr>
        <w:t xml:space="preserve">support, </w:t>
      </w:r>
      <w:r w:rsidR="00D703B4">
        <w:rPr>
          <w:rFonts w:asciiTheme="majorBidi" w:eastAsia="Arial" w:hAnsiTheme="majorBidi" w:cstheme="majorBidi"/>
          <w:color w:val="252525"/>
          <w:sz w:val="24"/>
          <w:szCs w:val="24"/>
        </w:rPr>
        <w:t xml:space="preserve">will 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 xml:space="preserve">set </w:t>
      </w:r>
      <w:r w:rsidR="00D703B4">
        <w:rPr>
          <w:rFonts w:asciiTheme="majorBidi" w:eastAsia="Arial" w:hAnsiTheme="majorBidi" w:cstheme="majorBidi"/>
          <w:color w:val="252525"/>
          <w:sz w:val="24"/>
          <w:szCs w:val="24"/>
        </w:rPr>
        <w:t xml:space="preserve">the 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 xml:space="preserve">agenda, moderate meetings, and prepare </w:t>
      </w:r>
      <w:r w:rsidR="00D703B4">
        <w:rPr>
          <w:rFonts w:asciiTheme="majorBidi" w:eastAsia="Arial" w:hAnsiTheme="majorBidi" w:cstheme="majorBidi"/>
          <w:color w:val="252525"/>
          <w:sz w:val="24"/>
          <w:szCs w:val="24"/>
        </w:rPr>
        <w:t xml:space="preserve">a 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>Chair’s Summary</w:t>
      </w:r>
      <w:r w:rsidR="00A57F6D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reflecting the discussions and key outcomes</w:t>
      </w:r>
      <w:r w:rsidR="001D6BC6" w:rsidRPr="009A0082">
        <w:rPr>
          <w:rFonts w:asciiTheme="majorBidi" w:eastAsia="Arial" w:hAnsiTheme="majorBidi" w:cstheme="majorBidi"/>
          <w:color w:val="252525"/>
          <w:sz w:val="24"/>
          <w:szCs w:val="24"/>
        </w:rPr>
        <w:t>.</w:t>
      </w:r>
    </w:p>
    <w:p w14:paraId="3FB84932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1BDCD058" w14:textId="5AB2AFE7" w:rsidR="001D6BC6" w:rsidRPr="00E05EA6" w:rsidRDefault="001D6BC6" w:rsidP="0026175B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  <w:r w:rsidRPr="00E05EA6">
        <w:rPr>
          <w:rFonts w:asciiTheme="majorBidi" w:eastAsia="Arial" w:hAnsiTheme="majorBidi" w:cstheme="majorBidi"/>
          <w:b/>
          <w:bCs/>
          <w:color w:val="252525"/>
        </w:rPr>
        <w:t>3. Thematic Focus (</w:t>
      </w:r>
      <w:r w:rsidR="0026175B">
        <w:rPr>
          <w:rFonts w:asciiTheme="majorBidi" w:eastAsia="Arial" w:hAnsiTheme="majorBidi" w:cstheme="majorBidi"/>
          <w:b/>
          <w:bCs/>
          <w:color w:val="252525"/>
        </w:rPr>
        <w:t>Refined based on</w:t>
      </w:r>
      <w:r w:rsidRPr="00E05EA6">
        <w:rPr>
          <w:rFonts w:asciiTheme="majorBidi" w:eastAsia="Arial" w:hAnsiTheme="majorBidi" w:cstheme="majorBidi"/>
          <w:b/>
          <w:bCs/>
          <w:color w:val="252525"/>
        </w:rPr>
        <w:t xml:space="preserve"> </w:t>
      </w:r>
      <w:r w:rsidR="00520E6F">
        <w:rPr>
          <w:rFonts w:asciiTheme="majorBidi" w:eastAsia="Arial" w:hAnsiTheme="majorBidi" w:cstheme="majorBidi"/>
          <w:b/>
          <w:bCs/>
          <w:color w:val="252525"/>
        </w:rPr>
        <w:t xml:space="preserve">the </w:t>
      </w:r>
      <w:r w:rsidR="0026175B">
        <w:rPr>
          <w:rFonts w:asciiTheme="majorBidi" w:eastAsia="Arial" w:hAnsiTheme="majorBidi" w:cstheme="majorBidi"/>
          <w:b/>
          <w:bCs/>
          <w:color w:val="252525"/>
        </w:rPr>
        <w:t>first HLDPE outcomes</w:t>
      </w:r>
      <w:r w:rsidRPr="00E05EA6">
        <w:rPr>
          <w:rFonts w:asciiTheme="majorBidi" w:eastAsia="Arial" w:hAnsiTheme="majorBidi" w:cstheme="majorBidi"/>
          <w:b/>
          <w:bCs/>
          <w:color w:val="252525"/>
        </w:rPr>
        <w:t>)</w:t>
      </w:r>
    </w:p>
    <w:p w14:paraId="013176E5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4AE5FE98" w14:textId="2A502587" w:rsidR="00744259" w:rsidRDefault="008646B9" w:rsidP="00744259">
      <w:pPr>
        <w:rPr>
          <w:rFonts w:asciiTheme="majorBidi" w:eastAsia="Arial" w:hAnsiTheme="majorBidi" w:cstheme="majorBidi"/>
          <w:color w:val="252525"/>
        </w:rPr>
      </w:pPr>
      <w:r w:rsidRPr="008646B9">
        <w:rPr>
          <w:rFonts w:asciiTheme="majorBidi" w:eastAsia="Arial" w:hAnsiTheme="majorBidi" w:cstheme="majorBidi"/>
          <w:color w:val="252525"/>
        </w:rPr>
        <w:t>Member States confirmed the following priority thematic areas, with air quality and sand/dust storms recognized as th</w:t>
      </w:r>
      <w:r>
        <w:rPr>
          <w:rFonts w:asciiTheme="majorBidi" w:eastAsia="Arial" w:hAnsiTheme="majorBidi" w:cstheme="majorBidi"/>
          <w:color w:val="252525"/>
        </w:rPr>
        <w:t>e central regional priority:</w:t>
      </w:r>
      <w:r>
        <w:rPr>
          <w:rFonts w:asciiTheme="majorBidi" w:eastAsia="Arial" w:hAnsiTheme="majorBidi" w:cstheme="majorBidi"/>
          <w:color w:val="252525"/>
        </w:rPr>
        <w:br/>
      </w:r>
    </w:p>
    <w:p w14:paraId="7D0BE990" w14:textId="77777777" w:rsidR="008646B9" w:rsidRPr="00744259" w:rsidRDefault="008646B9" w:rsidP="008646B9">
      <w:pPr>
        <w:pStyle w:val="ListParagraph"/>
        <w:numPr>
          <w:ilvl w:val="0"/>
          <w:numId w:val="42"/>
        </w:numPr>
        <w:rPr>
          <w:rFonts w:asciiTheme="majorBidi" w:eastAsia="Arial" w:hAnsiTheme="majorBidi" w:cstheme="majorBidi"/>
          <w:color w:val="252525"/>
          <w:sz w:val="24"/>
          <w:szCs w:val="24"/>
        </w:rPr>
      </w:pPr>
      <w:r w:rsidRPr="00F3330D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Air quality management</w:t>
      </w:r>
      <w:r w:rsidRPr="00744259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and </w:t>
      </w:r>
      <w:r w:rsidRPr="00F3330D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sand and dust storms</w:t>
      </w:r>
      <w:r w:rsidRPr="00744259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(including development of a regional early warning system and joint monitoring)</w:t>
      </w:r>
    </w:p>
    <w:p w14:paraId="54076B40" w14:textId="77777777" w:rsidR="008646B9" w:rsidRPr="00744259" w:rsidRDefault="008646B9" w:rsidP="008646B9">
      <w:pPr>
        <w:pStyle w:val="ListParagraph"/>
        <w:numPr>
          <w:ilvl w:val="0"/>
          <w:numId w:val="42"/>
        </w:numPr>
        <w:rPr>
          <w:rFonts w:asciiTheme="majorBidi" w:eastAsia="Arial" w:hAnsiTheme="majorBidi" w:cstheme="majorBidi"/>
          <w:color w:val="252525"/>
          <w:sz w:val="24"/>
          <w:szCs w:val="24"/>
        </w:rPr>
      </w:pPr>
      <w:r w:rsidRPr="00F3330D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Circular economy</w:t>
      </w:r>
      <w:r w:rsidRPr="00744259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/ pollution management (plastics, chemicals, waste)</w:t>
      </w:r>
    </w:p>
    <w:p w14:paraId="78583B5E" w14:textId="77777777" w:rsidR="008646B9" w:rsidRPr="00F3330D" w:rsidRDefault="008646B9" w:rsidP="008646B9">
      <w:pPr>
        <w:pStyle w:val="ListParagraph"/>
        <w:numPr>
          <w:ilvl w:val="0"/>
          <w:numId w:val="42"/>
        </w:numPr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</w:pPr>
      <w:r w:rsidRPr="00F3330D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Land degradation and desertification</w:t>
      </w:r>
    </w:p>
    <w:p w14:paraId="0E12C9B9" w14:textId="77777777" w:rsidR="008646B9" w:rsidRPr="00F3330D" w:rsidRDefault="008646B9" w:rsidP="008646B9">
      <w:pPr>
        <w:pStyle w:val="ListParagraph"/>
        <w:numPr>
          <w:ilvl w:val="0"/>
          <w:numId w:val="42"/>
        </w:numPr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</w:pPr>
      <w:r w:rsidRPr="00F3330D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Climate change adaptation and mitigation</w:t>
      </w:r>
    </w:p>
    <w:p w14:paraId="15FA5DBE" w14:textId="77777777" w:rsidR="008646B9" w:rsidRPr="00744259" w:rsidRDefault="008646B9" w:rsidP="008646B9">
      <w:pPr>
        <w:pStyle w:val="ListParagraph"/>
        <w:numPr>
          <w:ilvl w:val="0"/>
          <w:numId w:val="42"/>
        </w:numPr>
        <w:rPr>
          <w:rFonts w:asciiTheme="majorBidi" w:eastAsia="Arial" w:hAnsiTheme="majorBidi" w:cstheme="majorBidi"/>
          <w:color w:val="252525"/>
          <w:sz w:val="24"/>
          <w:szCs w:val="24"/>
        </w:rPr>
      </w:pPr>
      <w:r w:rsidRPr="00F3330D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Biodiversity conservation and ecosystem restoration</w:t>
      </w:r>
      <w:r w:rsidRPr="00744259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(with special attention to the Aral Sea, Caspian Sea, and mountain systems)</w:t>
      </w:r>
    </w:p>
    <w:p w14:paraId="1828E5EC" w14:textId="77777777" w:rsidR="00744259" w:rsidRPr="00F37C79" w:rsidRDefault="008646B9" w:rsidP="008646B9">
      <w:pPr>
        <w:pStyle w:val="ListParagraph"/>
        <w:numPr>
          <w:ilvl w:val="0"/>
          <w:numId w:val="42"/>
        </w:numPr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</w:pPr>
      <w:r w:rsidRPr="00F37C79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Sustainable land and water management</w:t>
      </w:r>
    </w:p>
    <w:p w14:paraId="5585FCC3" w14:textId="77777777" w:rsidR="00BF610A" w:rsidRDefault="008646B9" w:rsidP="00BF610A">
      <w:pPr>
        <w:pStyle w:val="ListParagraph"/>
        <w:numPr>
          <w:ilvl w:val="0"/>
          <w:numId w:val="42"/>
        </w:numPr>
        <w:rPr>
          <w:rFonts w:asciiTheme="majorBidi" w:eastAsia="Arial" w:hAnsiTheme="majorBidi" w:cstheme="majorBidi"/>
          <w:color w:val="252525"/>
        </w:rPr>
      </w:pPr>
      <w:r w:rsidRPr="00BF610A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Transboundary afforestation</w:t>
      </w:r>
      <w:r w:rsidRPr="00BF610A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(e.g., "Green Shield of Central Asia") and desert ecosystem management</w:t>
      </w:r>
      <w:r w:rsidRPr="00BF610A">
        <w:rPr>
          <w:rFonts w:asciiTheme="majorBidi" w:eastAsia="Arial" w:hAnsiTheme="majorBidi" w:cstheme="majorBidi"/>
          <w:color w:val="252525"/>
          <w:sz w:val="24"/>
          <w:szCs w:val="24"/>
        </w:rPr>
        <w:br/>
      </w:r>
    </w:p>
    <w:p w14:paraId="26DCEDE2" w14:textId="5085184B" w:rsidR="001D6BC6" w:rsidRPr="00BF610A" w:rsidRDefault="001D6BC6" w:rsidP="00BF610A">
      <w:pPr>
        <w:ind w:left="360"/>
        <w:rPr>
          <w:rFonts w:asciiTheme="majorBidi" w:eastAsia="Arial" w:hAnsiTheme="majorBidi" w:cstheme="majorBidi"/>
          <w:color w:val="252525"/>
        </w:rPr>
      </w:pPr>
      <w:r w:rsidRPr="00BF610A">
        <w:rPr>
          <w:rFonts w:asciiTheme="majorBidi" w:eastAsia="Arial" w:hAnsiTheme="majorBidi" w:cstheme="majorBidi"/>
          <w:color w:val="252525"/>
        </w:rPr>
        <w:lastRenderedPageBreak/>
        <w:t xml:space="preserve">Each annual meeting </w:t>
      </w:r>
      <w:r w:rsidR="007B3F79" w:rsidRPr="00BF610A">
        <w:rPr>
          <w:rFonts w:asciiTheme="majorBidi" w:eastAsia="Arial" w:hAnsiTheme="majorBidi" w:cstheme="majorBidi"/>
          <w:color w:val="252525"/>
        </w:rPr>
        <w:t>may</w:t>
      </w:r>
      <w:r w:rsidRPr="00BF610A">
        <w:rPr>
          <w:rFonts w:asciiTheme="majorBidi" w:eastAsia="Arial" w:hAnsiTheme="majorBidi" w:cstheme="majorBidi"/>
          <w:color w:val="252525"/>
        </w:rPr>
        <w:t xml:space="preserve"> focus on 1</w:t>
      </w:r>
      <w:r w:rsidR="007B3F79" w:rsidRPr="00BF610A">
        <w:rPr>
          <w:rFonts w:asciiTheme="majorBidi" w:eastAsia="Arial" w:hAnsiTheme="majorBidi" w:cstheme="majorBidi"/>
          <w:color w:val="252525"/>
        </w:rPr>
        <w:t xml:space="preserve"> or </w:t>
      </w:r>
      <w:r w:rsidRPr="00BF610A">
        <w:rPr>
          <w:rFonts w:asciiTheme="majorBidi" w:eastAsia="Arial" w:hAnsiTheme="majorBidi" w:cstheme="majorBidi"/>
          <w:color w:val="252525"/>
        </w:rPr>
        <w:t xml:space="preserve">2 </w:t>
      </w:r>
      <w:r w:rsidR="007B3F79" w:rsidRPr="00BF610A">
        <w:rPr>
          <w:rFonts w:asciiTheme="majorBidi" w:eastAsia="Arial" w:hAnsiTheme="majorBidi" w:cstheme="majorBidi"/>
          <w:color w:val="252525"/>
        </w:rPr>
        <w:t>thematic areas</w:t>
      </w:r>
      <w:r w:rsidR="00BF610A" w:rsidRPr="00BF610A">
        <w:rPr>
          <w:rFonts w:asciiTheme="majorBidi" w:eastAsia="Arial" w:hAnsiTheme="majorBidi" w:cstheme="majorBidi"/>
          <w:color w:val="252525"/>
        </w:rPr>
        <w:t xml:space="preserve"> to be decided by Member States by consensus.</w:t>
      </w:r>
    </w:p>
    <w:p w14:paraId="049EADE1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56813BBF" w14:textId="77777777" w:rsidR="001D6BC6" w:rsidRPr="007577C9" w:rsidRDefault="001D6BC6" w:rsidP="001D6BC6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  <w:r w:rsidRPr="007577C9">
        <w:rPr>
          <w:rFonts w:asciiTheme="majorBidi" w:eastAsia="Arial" w:hAnsiTheme="majorBidi" w:cstheme="majorBidi"/>
          <w:b/>
          <w:bCs/>
          <w:color w:val="252525"/>
        </w:rPr>
        <w:t>4. Proposed Timeline of Sessions</w:t>
      </w:r>
    </w:p>
    <w:p w14:paraId="36DDF244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4392" w:rsidRPr="0081002F" w14:paraId="2278BAD0" w14:textId="77777777" w:rsidTr="00444392">
        <w:tc>
          <w:tcPr>
            <w:tcW w:w="2337" w:type="dxa"/>
          </w:tcPr>
          <w:p w14:paraId="7BA3F969" w14:textId="77777777" w:rsidR="00444392" w:rsidRPr="0081002F" w:rsidRDefault="00444392" w:rsidP="00444392">
            <w:pPr>
              <w:rPr>
                <w:rFonts w:asciiTheme="majorBidi" w:eastAsia="Arial" w:hAnsiTheme="majorBidi" w:cstheme="majorBidi"/>
                <w:b/>
                <w:bCs/>
                <w:color w:val="252525"/>
              </w:rPr>
            </w:pPr>
            <w:r w:rsidRPr="0081002F">
              <w:rPr>
                <w:rFonts w:asciiTheme="majorBidi" w:eastAsia="Arial" w:hAnsiTheme="majorBidi" w:cstheme="majorBidi"/>
                <w:b/>
                <w:bCs/>
                <w:color w:val="252525"/>
              </w:rPr>
              <w:t>Session</w:t>
            </w:r>
          </w:p>
        </w:tc>
        <w:tc>
          <w:tcPr>
            <w:tcW w:w="2337" w:type="dxa"/>
          </w:tcPr>
          <w:p w14:paraId="5CA421C3" w14:textId="77777777" w:rsidR="00444392" w:rsidRPr="0081002F" w:rsidRDefault="00444392" w:rsidP="00444392">
            <w:pPr>
              <w:rPr>
                <w:rFonts w:asciiTheme="majorBidi" w:eastAsia="Arial" w:hAnsiTheme="majorBidi" w:cstheme="majorBidi"/>
                <w:b/>
                <w:bCs/>
                <w:color w:val="252525"/>
              </w:rPr>
            </w:pPr>
            <w:r w:rsidRPr="0081002F">
              <w:rPr>
                <w:rFonts w:asciiTheme="majorBidi" w:eastAsia="Arial" w:hAnsiTheme="majorBidi" w:cstheme="majorBidi"/>
                <w:b/>
                <w:bCs/>
                <w:color w:val="252525"/>
              </w:rPr>
              <w:t>Timeframe</w:t>
            </w:r>
          </w:p>
        </w:tc>
        <w:tc>
          <w:tcPr>
            <w:tcW w:w="2338" w:type="dxa"/>
          </w:tcPr>
          <w:p w14:paraId="1FB00FFB" w14:textId="77777777" w:rsidR="00444392" w:rsidRPr="0081002F" w:rsidRDefault="00444392" w:rsidP="00444392">
            <w:pPr>
              <w:rPr>
                <w:rFonts w:asciiTheme="majorBidi" w:eastAsia="Arial" w:hAnsiTheme="majorBidi" w:cstheme="majorBidi"/>
                <w:b/>
                <w:bCs/>
                <w:color w:val="252525"/>
              </w:rPr>
            </w:pPr>
            <w:r w:rsidRPr="0081002F">
              <w:rPr>
                <w:rFonts w:asciiTheme="majorBidi" w:eastAsia="Arial" w:hAnsiTheme="majorBidi" w:cstheme="majorBidi"/>
                <w:b/>
                <w:bCs/>
                <w:color w:val="252525"/>
              </w:rPr>
              <w:t>Venue / Modality</w:t>
            </w:r>
          </w:p>
        </w:tc>
        <w:tc>
          <w:tcPr>
            <w:tcW w:w="2338" w:type="dxa"/>
          </w:tcPr>
          <w:p w14:paraId="4061D75E" w14:textId="77777777" w:rsidR="00444392" w:rsidRPr="0081002F" w:rsidRDefault="00444392" w:rsidP="00444392">
            <w:pPr>
              <w:rPr>
                <w:rFonts w:asciiTheme="majorBidi" w:eastAsia="Arial" w:hAnsiTheme="majorBidi" w:cstheme="majorBidi"/>
                <w:b/>
                <w:bCs/>
                <w:color w:val="252525"/>
              </w:rPr>
            </w:pPr>
            <w:r w:rsidRPr="0081002F">
              <w:rPr>
                <w:rFonts w:asciiTheme="majorBidi" w:eastAsia="Arial" w:hAnsiTheme="majorBidi" w:cstheme="majorBidi"/>
                <w:b/>
                <w:bCs/>
                <w:color w:val="252525"/>
              </w:rPr>
              <w:t>Expected Output</w:t>
            </w:r>
          </w:p>
          <w:p w14:paraId="048FFA0F" w14:textId="77777777" w:rsidR="00444392" w:rsidRPr="0081002F" w:rsidRDefault="00444392" w:rsidP="00444392">
            <w:pPr>
              <w:rPr>
                <w:rFonts w:asciiTheme="majorBidi" w:eastAsia="Arial" w:hAnsiTheme="majorBidi" w:cstheme="majorBidi"/>
                <w:b/>
                <w:bCs/>
                <w:color w:val="252525"/>
              </w:rPr>
            </w:pPr>
          </w:p>
        </w:tc>
      </w:tr>
      <w:tr w:rsidR="00444392" w:rsidRPr="00444392" w14:paraId="5B14E86D" w14:textId="77777777" w:rsidTr="00444392">
        <w:tc>
          <w:tcPr>
            <w:tcW w:w="2337" w:type="dxa"/>
          </w:tcPr>
          <w:p w14:paraId="1DE2709D" w14:textId="77777777" w:rsidR="00686C0B" w:rsidRPr="00612DF4" w:rsidRDefault="00686C0B" w:rsidP="00444392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</w:p>
          <w:p w14:paraId="0CA37B3B" w14:textId="34728059" w:rsidR="00444392" w:rsidRPr="00612DF4" w:rsidRDefault="00444392" w:rsidP="00444392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  <w:r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  <w:t>1</w:t>
            </w:r>
            <w:r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  <w:vertAlign w:val="superscript"/>
              </w:rPr>
              <w:t>st</w:t>
            </w:r>
            <w:r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  <w:t xml:space="preserve"> HLDP</w:t>
            </w:r>
            <w:r w:rsidR="00D703B4"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  <w:t>E</w:t>
            </w:r>
          </w:p>
        </w:tc>
        <w:tc>
          <w:tcPr>
            <w:tcW w:w="2337" w:type="dxa"/>
          </w:tcPr>
          <w:p w14:paraId="36D4D454" w14:textId="77777777" w:rsidR="00686C0B" w:rsidRDefault="00686C0B" w:rsidP="00444392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76BB4CB7" w14:textId="77777777" w:rsidR="00444392" w:rsidRPr="00444392" w:rsidRDefault="00444392" w:rsidP="00444392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444392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23 April 2026</w:t>
            </w:r>
          </w:p>
        </w:tc>
        <w:tc>
          <w:tcPr>
            <w:tcW w:w="2338" w:type="dxa"/>
          </w:tcPr>
          <w:p w14:paraId="05ED3729" w14:textId="77777777" w:rsidR="00686C0B" w:rsidRDefault="00686C0B" w:rsidP="00A72393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0A7AF0DC" w14:textId="77777777" w:rsidR="00444392" w:rsidRPr="00444392" w:rsidRDefault="00444392" w:rsidP="00A72393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444392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Astana </w:t>
            </w:r>
            <w:r w:rsidR="00A72393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– Republic of Kazakhstan</w:t>
            </w:r>
          </w:p>
        </w:tc>
        <w:tc>
          <w:tcPr>
            <w:tcW w:w="2338" w:type="dxa"/>
          </w:tcPr>
          <w:p w14:paraId="2976DC73" w14:textId="0FBBCB3F" w:rsidR="00444392" w:rsidRPr="00444392" w:rsidRDefault="00444392" w:rsidP="00686C0B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444392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Chair’s Summary; </w:t>
            </w:r>
            <w:r w:rsidR="00686C0B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identification of roadmap direction and priorities</w:t>
            </w:r>
          </w:p>
          <w:p w14:paraId="4FF3E7EA" w14:textId="77777777" w:rsidR="00444392" w:rsidRPr="00444392" w:rsidRDefault="00444392" w:rsidP="001D6BC6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</w:tc>
      </w:tr>
      <w:tr w:rsidR="00444392" w:rsidRPr="00444392" w14:paraId="12401BB3" w14:textId="77777777" w:rsidTr="00444392">
        <w:tc>
          <w:tcPr>
            <w:tcW w:w="2337" w:type="dxa"/>
          </w:tcPr>
          <w:p w14:paraId="1306F634" w14:textId="77777777" w:rsidR="00686C0B" w:rsidRPr="00612DF4" w:rsidRDefault="00686C0B" w:rsidP="00444392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</w:p>
          <w:p w14:paraId="4C25976E" w14:textId="77777777" w:rsidR="00444392" w:rsidRPr="00612DF4" w:rsidRDefault="00444392" w:rsidP="00444392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  <w:r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  <w:t>Virtual thematic session</w:t>
            </w:r>
          </w:p>
        </w:tc>
        <w:tc>
          <w:tcPr>
            <w:tcW w:w="2337" w:type="dxa"/>
          </w:tcPr>
          <w:p w14:paraId="0D1FE117" w14:textId="77777777" w:rsidR="00686C0B" w:rsidRDefault="00686C0B" w:rsidP="00CE199E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592F3E23" w14:textId="77777777" w:rsidR="00444392" w:rsidRPr="00444392" w:rsidRDefault="00444392" w:rsidP="00CE199E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November</w:t>
            </w:r>
            <w:r w:rsidRPr="00444392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2026 </w:t>
            </w:r>
            <w:r w:rsidR="00CE199E" w:rsidRPr="00CE199E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(</w:t>
            </w:r>
            <w:proofErr w:type="spellStart"/>
            <w:r w:rsidR="00CE199E" w:rsidRPr="00CE199E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tbc</w:t>
            </w:r>
            <w:proofErr w:type="spellEnd"/>
            <w:r w:rsidR="00CE199E" w:rsidRPr="00CE199E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)</w:t>
            </w:r>
          </w:p>
        </w:tc>
        <w:tc>
          <w:tcPr>
            <w:tcW w:w="2338" w:type="dxa"/>
          </w:tcPr>
          <w:p w14:paraId="1B0AEBAD" w14:textId="77777777" w:rsidR="00686C0B" w:rsidRDefault="00686C0B" w:rsidP="00444392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046FA321" w14:textId="77777777" w:rsidR="00444392" w:rsidRPr="00444392" w:rsidRDefault="00444392" w:rsidP="005C7782">
            <w:pPr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444392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Online</w:t>
            </w:r>
          </w:p>
        </w:tc>
        <w:tc>
          <w:tcPr>
            <w:tcW w:w="2338" w:type="dxa"/>
          </w:tcPr>
          <w:p w14:paraId="49D1D75E" w14:textId="032829B6" w:rsidR="00444392" w:rsidRPr="00444392" w:rsidRDefault="00444392" w:rsidP="00686C0B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444392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Technical brief on </w:t>
            </w:r>
            <w:r w:rsidR="00686C0B" w:rsidRPr="00686C0B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sand and dust storms</w:t>
            </w:r>
            <w:r w:rsidR="00686C0B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and air quality monitoring</w:t>
            </w:r>
          </w:p>
        </w:tc>
      </w:tr>
      <w:tr w:rsidR="00444392" w:rsidRPr="00444392" w14:paraId="10C2355E" w14:textId="77777777" w:rsidTr="00444392">
        <w:tc>
          <w:tcPr>
            <w:tcW w:w="2337" w:type="dxa"/>
          </w:tcPr>
          <w:p w14:paraId="0D0007CB" w14:textId="77777777" w:rsidR="00686C0B" w:rsidRPr="00612DF4" w:rsidRDefault="00686C0B" w:rsidP="00444392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</w:p>
          <w:p w14:paraId="5537B636" w14:textId="77777777" w:rsidR="00686C0B" w:rsidRPr="00612DF4" w:rsidRDefault="00686C0B" w:rsidP="00444392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</w:p>
          <w:p w14:paraId="407360BE" w14:textId="27B29413" w:rsidR="00444392" w:rsidRPr="00612DF4" w:rsidRDefault="00444392" w:rsidP="00444392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  <w:r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  <w:t>2</w:t>
            </w:r>
            <w:r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  <w:vertAlign w:val="superscript"/>
              </w:rPr>
              <w:t>nd</w:t>
            </w:r>
            <w:r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  <w:t xml:space="preserve"> HLDP</w:t>
            </w:r>
            <w:r w:rsidR="00D703B4"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  <w:t>E</w:t>
            </w:r>
          </w:p>
        </w:tc>
        <w:tc>
          <w:tcPr>
            <w:tcW w:w="2337" w:type="dxa"/>
          </w:tcPr>
          <w:p w14:paraId="555609B0" w14:textId="77777777" w:rsidR="00686C0B" w:rsidRDefault="00686C0B" w:rsidP="00444392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60BE7722" w14:textId="77777777" w:rsidR="00686C0B" w:rsidRDefault="00686C0B" w:rsidP="00444392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25533423" w14:textId="50FBFA93" w:rsidR="00444392" w:rsidRPr="00444392" w:rsidRDefault="00444392" w:rsidP="00444392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444392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202</w:t>
            </w:r>
            <w:r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7 (</w:t>
            </w:r>
            <w:proofErr w:type="spellStart"/>
            <w:r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tb</w:t>
            </w:r>
            <w:r w:rsidR="0009538C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d</w:t>
            </w:r>
            <w:proofErr w:type="spellEnd"/>
            <w:r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)</w:t>
            </w:r>
          </w:p>
        </w:tc>
        <w:tc>
          <w:tcPr>
            <w:tcW w:w="2338" w:type="dxa"/>
          </w:tcPr>
          <w:p w14:paraId="6030B26C" w14:textId="77777777" w:rsidR="005C7782" w:rsidRDefault="005C7782" w:rsidP="005C7782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  <w:lang w:val="tr-TR"/>
              </w:rPr>
            </w:pPr>
          </w:p>
          <w:p w14:paraId="0403F7C3" w14:textId="051230B9" w:rsidR="00444392" w:rsidRPr="00444392" w:rsidRDefault="005C7782" w:rsidP="005C7782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>
              <w:rPr>
                <w:rFonts w:asciiTheme="majorBidi" w:eastAsia="Arial" w:hAnsiTheme="majorBidi" w:cstheme="majorBidi"/>
                <w:color w:val="252525"/>
                <w:sz w:val="20"/>
                <w:szCs w:val="20"/>
                <w:lang w:val="tr-TR"/>
              </w:rPr>
              <w:t>To be declared by</w:t>
            </w:r>
            <w:r w:rsidR="0009538C">
              <w:rPr>
                <w:rFonts w:asciiTheme="majorBidi" w:eastAsia="Arial" w:hAnsiTheme="majorBidi" w:cstheme="majorBidi"/>
                <w:color w:val="252525"/>
                <w:sz w:val="20"/>
                <w:szCs w:val="20"/>
                <w:lang w:val="tr-TR"/>
              </w:rPr>
              <w:t xml:space="preserve"> the </w:t>
            </w:r>
            <w:r>
              <w:rPr>
                <w:rFonts w:asciiTheme="majorBidi" w:eastAsia="Arial" w:hAnsiTheme="majorBidi" w:cstheme="majorBidi"/>
                <w:color w:val="252525"/>
                <w:sz w:val="20"/>
                <w:szCs w:val="20"/>
                <w:lang w:val="tr-TR"/>
              </w:rPr>
              <w:t xml:space="preserve">next </w:t>
            </w:r>
            <w:r w:rsidR="00E3254C">
              <w:rPr>
                <w:rFonts w:asciiTheme="majorBidi" w:eastAsia="Arial" w:hAnsiTheme="majorBidi" w:cstheme="majorBidi"/>
                <w:color w:val="252525"/>
                <w:sz w:val="20"/>
                <w:szCs w:val="20"/>
                <w:lang w:val="tr-TR"/>
              </w:rPr>
              <w:t xml:space="preserve">HLDPE </w:t>
            </w:r>
            <w:r w:rsidR="0009538C">
              <w:rPr>
                <w:rFonts w:asciiTheme="majorBidi" w:eastAsia="Arial" w:hAnsiTheme="majorBidi" w:cstheme="majorBidi"/>
                <w:color w:val="252525"/>
                <w:sz w:val="20"/>
                <w:szCs w:val="20"/>
                <w:lang w:val="tr-TR"/>
              </w:rPr>
              <w:t xml:space="preserve">chairmanship for 2027 </w:t>
            </w:r>
          </w:p>
        </w:tc>
        <w:tc>
          <w:tcPr>
            <w:tcW w:w="2338" w:type="dxa"/>
          </w:tcPr>
          <w:p w14:paraId="2744AD89" w14:textId="7869D145" w:rsidR="00444392" w:rsidRPr="00444392" w:rsidRDefault="00CE199E" w:rsidP="00CE199E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CE199E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Identification of pilot cooperation activities</w:t>
            </w:r>
            <w:r w:rsidR="00686C0B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(such as clean air consortium model, early warning system)</w:t>
            </w:r>
          </w:p>
        </w:tc>
      </w:tr>
      <w:tr w:rsidR="00444392" w:rsidRPr="00444392" w14:paraId="2A4892FB" w14:textId="77777777" w:rsidTr="00444392">
        <w:tc>
          <w:tcPr>
            <w:tcW w:w="2337" w:type="dxa"/>
          </w:tcPr>
          <w:p w14:paraId="2E70B011" w14:textId="77777777" w:rsidR="00612DF4" w:rsidRPr="00612DF4" w:rsidRDefault="00612DF4" w:rsidP="00A32B50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</w:p>
          <w:p w14:paraId="05860D67" w14:textId="77777777" w:rsidR="00444392" w:rsidRPr="00612DF4" w:rsidRDefault="00A32B50" w:rsidP="00A32B50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  <w:r w:rsidRPr="00612DF4"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  <w:t>Virtual thematic session</w:t>
            </w:r>
          </w:p>
        </w:tc>
        <w:tc>
          <w:tcPr>
            <w:tcW w:w="2337" w:type="dxa"/>
          </w:tcPr>
          <w:p w14:paraId="341F56C4" w14:textId="77777777" w:rsidR="00612DF4" w:rsidRDefault="00612DF4" w:rsidP="00A32B50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02BCC904" w14:textId="77777777" w:rsidR="00444392" w:rsidRPr="00444392" w:rsidRDefault="00A32B50" w:rsidP="00A32B50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A32B50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November 202</w:t>
            </w:r>
            <w:r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7</w:t>
            </w:r>
            <w:r w:rsidRPr="00A32B50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(</w:t>
            </w:r>
            <w:proofErr w:type="spellStart"/>
            <w:r w:rsidRPr="00A32B50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tbc</w:t>
            </w:r>
            <w:proofErr w:type="spellEnd"/>
            <w:r w:rsidRPr="00A32B50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)</w:t>
            </w:r>
          </w:p>
        </w:tc>
        <w:tc>
          <w:tcPr>
            <w:tcW w:w="2338" w:type="dxa"/>
          </w:tcPr>
          <w:p w14:paraId="315067D5" w14:textId="77777777" w:rsidR="00612DF4" w:rsidRDefault="00612DF4" w:rsidP="00A32B50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1F785275" w14:textId="77777777" w:rsidR="00444392" w:rsidRPr="00444392" w:rsidRDefault="00A32B50" w:rsidP="005C7782">
            <w:pPr>
              <w:rPr>
                <w:rFonts w:asciiTheme="majorBidi" w:eastAsia="Arial" w:hAnsiTheme="majorBidi" w:cstheme="majorBidi"/>
                <w:color w:val="252525"/>
                <w:sz w:val="20"/>
                <w:szCs w:val="20"/>
                <w:lang w:val="tr-TR"/>
              </w:rPr>
            </w:pPr>
            <w:r w:rsidRPr="00A32B50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Online</w:t>
            </w:r>
          </w:p>
        </w:tc>
        <w:tc>
          <w:tcPr>
            <w:tcW w:w="2338" w:type="dxa"/>
          </w:tcPr>
          <w:p w14:paraId="6600083A" w14:textId="291A5DB5" w:rsidR="00444392" w:rsidRPr="00444392" w:rsidRDefault="00A32B50" w:rsidP="00A32B50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A32B50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Progress update on pilot activities</w:t>
            </w:r>
            <w:r w:rsidR="00686C0B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and data-sharing mechanisms</w:t>
            </w:r>
          </w:p>
        </w:tc>
      </w:tr>
    </w:tbl>
    <w:p w14:paraId="3D3B6EF7" w14:textId="77777777" w:rsidR="00444392" w:rsidRDefault="00444392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2C1CD405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68FE98EF" w14:textId="77777777" w:rsidR="001D6BC6" w:rsidRPr="00A32B50" w:rsidRDefault="001D6BC6" w:rsidP="001D6BC6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  <w:r w:rsidRPr="00A32B50">
        <w:rPr>
          <w:rFonts w:asciiTheme="majorBidi" w:eastAsia="Arial" w:hAnsiTheme="majorBidi" w:cstheme="majorBidi"/>
          <w:b/>
          <w:bCs/>
          <w:color w:val="252525"/>
        </w:rPr>
        <w:t>5. Link to ECO Decision-Making</w:t>
      </w:r>
    </w:p>
    <w:p w14:paraId="0A3DEFDB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05274EAC" w14:textId="71354AC1" w:rsidR="001D6BC6" w:rsidRPr="00583C6F" w:rsidRDefault="001D6BC6" w:rsidP="00612DF4">
      <w:pPr>
        <w:pStyle w:val="ListParagraph"/>
        <w:numPr>
          <w:ilvl w:val="0"/>
          <w:numId w:val="39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>HLDP</w:t>
      </w:r>
      <w:r w:rsidR="0009538C">
        <w:rPr>
          <w:rFonts w:asciiTheme="majorBidi" w:eastAsia="Arial" w:hAnsiTheme="majorBidi" w:cstheme="majorBidi"/>
          <w:color w:val="252525"/>
          <w:sz w:val="24"/>
          <w:szCs w:val="24"/>
        </w:rPr>
        <w:t>E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</w:t>
      </w:r>
      <w:r w:rsidR="00612DF4" w:rsidRPr="00612DF4">
        <w:rPr>
          <w:rFonts w:asciiTheme="majorBidi" w:eastAsia="Arial" w:hAnsiTheme="majorBidi" w:cstheme="majorBidi"/>
          <w:color w:val="252525"/>
          <w:sz w:val="24"/>
          <w:szCs w:val="24"/>
          <w:lang w:val="en-US"/>
        </w:rPr>
        <w:t xml:space="preserve">outcomes </w:t>
      </w:r>
      <w:r w:rsidR="00BE4A1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shall </w:t>
      </w:r>
      <w:r w:rsidR="004D75FE" w:rsidRPr="00583C6F">
        <w:rPr>
          <w:rFonts w:asciiTheme="majorBidi" w:eastAsia="Arial" w:hAnsiTheme="majorBidi" w:cstheme="majorBidi"/>
          <w:color w:val="252525"/>
          <w:sz w:val="24"/>
          <w:szCs w:val="24"/>
        </w:rPr>
        <w:t>be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</w:t>
      </w:r>
      <w:r w:rsidR="00BE4A1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formulated 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as </w:t>
      </w:r>
      <w:r w:rsidR="005B7086"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consensus-based, non-binding 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>recommendations</w:t>
      </w:r>
      <w:r w:rsidR="005B7086">
        <w:rPr>
          <w:rFonts w:asciiTheme="majorBidi" w:eastAsia="Arial" w:hAnsiTheme="majorBidi" w:cstheme="majorBidi"/>
          <w:color w:val="252525"/>
          <w:sz w:val="24"/>
          <w:szCs w:val="24"/>
        </w:rPr>
        <w:t>.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</w:t>
      </w:r>
    </w:p>
    <w:p w14:paraId="5001D31B" w14:textId="635E56AD" w:rsidR="001D6BC6" w:rsidRPr="00583C6F" w:rsidRDefault="005B7086" w:rsidP="00CF0071">
      <w:pPr>
        <w:pStyle w:val="ListParagraph"/>
        <w:numPr>
          <w:ilvl w:val="0"/>
          <w:numId w:val="39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Recommendations of the HLDPE shall be transmitted through </w:t>
      </w:r>
      <w:r w:rsidR="001D6BC6" w:rsidRPr="00583C6F">
        <w:rPr>
          <w:rFonts w:asciiTheme="majorBidi" w:eastAsia="Arial" w:hAnsiTheme="majorBidi" w:cstheme="majorBidi"/>
          <w:color w:val="252525"/>
          <w:sz w:val="24"/>
          <w:szCs w:val="24"/>
        </w:rPr>
        <w:t>HLDP</w:t>
      </w:r>
      <w:r w:rsidR="00EA537D">
        <w:rPr>
          <w:rFonts w:asciiTheme="majorBidi" w:eastAsia="Arial" w:hAnsiTheme="majorBidi" w:cstheme="majorBidi"/>
          <w:color w:val="252525"/>
          <w:sz w:val="24"/>
          <w:szCs w:val="24"/>
        </w:rPr>
        <w:t>E</w:t>
      </w:r>
      <w:r w:rsidR="001D6BC6"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→ ECO Working Group on Environment → ECO Min</w:t>
      </w:r>
      <w:r w:rsidR="004D75FE" w:rsidRPr="00583C6F">
        <w:rPr>
          <w:rFonts w:asciiTheme="majorBidi" w:eastAsia="Arial" w:hAnsiTheme="majorBidi" w:cstheme="majorBidi"/>
          <w:color w:val="252525"/>
          <w:sz w:val="24"/>
          <w:szCs w:val="24"/>
        </w:rPr>
        <w:t>isterial Meeting on Environment</w:t>
      </w:r>
      <w:r w:rsidR="00571C0D">
        <w:rPr>
          <w:rFonts w:asciiTheme="majorBidi" w:eastAsia="Arial" w:hAnsiTheme="majorBidi" w:cstheme="majorBidi"/>
          <w:color w:val="252525"/>
          <w:sz w:val="24"/>
          <w:szCs w:val="24"/>
        </w:rPr>
        <w:t>.</w:t>
      </w:r>
    </w:p>
    <w:p w14:paraId="710C9C9B" w14:textId="47DF00F4" w:rsidR="001D6BC6" w:rsidRPr="00583C6F" w:rsidRDefault="005B7086" w:rsidP="00CF0071">
      <w:pPr>
        <w:pStyle w:val="ListParagraph"/>
        <w:numPr>
          <w:ilvl w:val="0"/>
          <w:numId w:val="39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>
        <w:rPr>
          <w:rFonts w:asciiTheme="majorBidi" w:eastAsia="Arial" w:hAnsiTheme="majorBidi" w:cstheme="majorBidi"/>
          <w:color w:val="252525"/>
          <w:sz w:val="24"/>
          <w:szCs w:val="24"/>
        </w:rPr>
        <w:t>The Chair’s Summary shall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</w:t>
      </w:r>
      <w:r w:rsidR="004D75FE"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be </w:t>
      </w:r>
      <w:r w:rsidR="001D6BC6"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circulated to all Member States </w:t>
      </w:r>
      <w:r w:rsidR="007B3F79">
        <w:rPr>
          <w:rFonts w:asciiTheme="majorBidi" w:eastAsia="Arial" w:hAnsiTheme="majorBidi" w:cstheme="majorBidi"/>
          <w:color w:val="252525"/>
          <w:sz w:val="24"/>
          <w:szCs w:val="24"/>
        </w:rPr>
        <w:t>following</w:t>
      </w:r>
      <w:r w:rsidR="001D6BC6"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each HLDP</w:t>
      </w:r>
      <w:r w:rsidR="00D703B4">
        <w:rPr>
          <w:rFonts w:asciiTheme="majorBidi" w:eastAsia="Arial" w:hAnsiTheme="majorBidi" w:cstheme="majorBidi"/>
          <w:color w:val="252525"/>
          <w:sz w:val="24"/>
          <w:szCs w:val="24"/>
        </w:rPr>
        <w:t>E</w:t>
      </w:r>
      <w:r w:rsidR="001D6BC6"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meeting.</w:t>
      </w:r>
    </w:p>
    <w:p w14:paraId="0BE0D26F" w14:textId="77777777" w:rsidR="001D6BC6" w:rsidRPr="009A0082" w:rsidRDefault="001D6BC6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4AF5A3FF" w14:textId="5F63EA1E" w:rsidR="001D6BC6" w:rsidRDefault="001D6BC6" w:rsidP="001D6BC6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  <w:r w:rsidRPr="00B40C46">
        <w:rPr>
          <w:rFonts w:asciiTheme="majorBidi" w:eastAsia="Arial" w:hAnsiTheme="majorBidi" w:cstheme="majorBidi"/>
          <w:b/>
          <w:bCs/>
          <w:color w:val="252525"/>
        </w:rPr>
        <w:t>6. Practical Modalities</w:t>
      </w:r>
      <w:r w:rsidR="00CA27E7">
        <w:rPr>
          <w:rFonts w:asciiTheme="majorBidi" w:eastAsia="Arial" w:hAnsiTheme="majorBidi" w:cstheme="majorBidi"/>
          <w:b/>
          <w:bCs/>
          <w:color w:val="252525"/>
        </w:rPr>
        <w:t xml:space="preserve"> and Format</w:t>
      </w:r>
    </w:p>
    <w:p w14:paraId="7F15DD37" w14:textId="77777777" w:rsidR="007B5198" w:rsidRPr="00B40C46" w:rsidRDefault="007B5198" w:rsidP="001D6BC6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</w:p>
    <w:p w14:paraId="620387B5" w14:textId="4154DB73" w:rsidR="001D6BC6" w:rsidRPr="00160260" w:rsidRDefault="001D6BC6" w:rsidP="00160260">
      <w:pPr>
        <w:pStyle w:val="ListParagraph"/>
        <w:numPr>
          <w:ilvl w:val="0"/>
          <w:numId w:val="41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 w:rsidRPr="00160260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Participation: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Governmental authorities, </w:t>
      </w:r>
      <w:r w:rsidR="0009538C">
        <w:rPr>
          <w:rFonts w:asciiTheme="majorBidi" w:eastAsia="Arial" w:hAnsiTheme="majorBidi" w:cstheme="majorBidi"/>
          <w:color w:val="252525"/>
          <w:sz w:val="24"/>
          <w:szCs w:val="24"/>
        </w:rPr>
        <w:t>academia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>, experts, national institutions. Observers</w:t>
      </w:r>
      <w:r w:rsidR="0009538C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such as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international org</w:t>
      </w:r>
      <w:r w:rsidR="00583C6F">
        <w:rPr>
          <w:rFonts w:asciiTheme="majorBidi" w:eastAsia="Arial" w:hAnsiTheme="majorBidi" w:cstheme="majorBidi"/>
          <w:color w:val="252525"/>
          <w:sz w:val="24"/>
          <w:szCs w:val="24"/>
        </w:rPr>
        <w:t>ani</w:t>
      </w:r>
      <w:r w:rsidR="00160260">
        <w:rPr>
          <w:rFonts w:asciiTheme="majorBidi" w:eastAsia="Arial" w:hAnsiTheme="majorBidi" w:cstheme="majorBidi"/>
          <w:color w:val="252525"/>
          <w:sz w:val="24"/>
          <w:szCs w:val="24"/>
        </w:rPr>
        <w:t>z</w:t>
      </w:r>
      <w:r w:rsidR="00583C6F">
        <w:rPr>
          <w:rFonts w:asciiTheme="majorBidi" w:eastAsia="Arial" w:hAnsiTheme="majorBidi" w:cstheme="majorBidi"/>
          <w:color w:val="252525"/>
          <w:sz w:val="24"/>
          <w:szCs w:val="24"/>
        </w:rPr>
        <w:t>ations</w:t>
      </w:r>
      <w:r w:rsidR="0009538C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and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civil society</w:t>
      </w:r>
      <w:r w:rsidR="00571C0D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</w:t>
      </w:r>
      <w:r w:rsidR="0009538C">
        <w:rPr>
          <w:rFonts w:asciiTheme="majorBidi" w:eastAsia="Arial" w:hAnsiTheme="majorBidi" w:cstheme="majorBidi"/>
          <w:color w:val="252525"/>
          <w:sz w:val="24"/>
          <w:szCs w:val="24"/>
        </w:rPr>
        <w:t>may be invited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by </w:t>
      </w:r>
      <w:r w:rsidR="0009538C">
        <w:rPr>
          <w:rFonts w:asciiTheme="majorBidi" w:eastAsia="Arial" w:hAnsiTheme="majorBidi" w:cstheme="majorBidi"/>
          <w:color w:val="252525"/>
          <w:sz w:val="24"/>
          <w:szCs w:val="24"/>
        </w:rPr>
        <w:t xml:space="preserve">the 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>Member State</w:t>
      </w:r>
      <w:r w:rsidR="0009538C">
        <w:rPr>
          <w:rFonts w:asciiTheme="majorBidi" w:eastAsia="Arial" w:hAnsiTheme="majorBidi" w:cstheme="majorBidi"/>
          <w:color w:val="252525"/>
          <w:sz w:val="24"/>
          <w:szCs w:val="24"/>
        </w:rPr>
        <w:t>s’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consent.</w:t>
      </w:r>
      <w:r w:rsidR="0016026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</w:t>
      </w:r>
      <w:r w:rsidRPr="0016026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Delegation lists </w:t>
      </w:r>
      <w:r w:rsidR="007B3F79" w:rsidRPr="0016026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shall </w:t>
      </w:r>
      <w:r w:rsidRPr="0016026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be </w:t>
      </w:r>
      <w:r w:rsidR="0009538C" w:rsidRPr="00160260">
        <w:rPr>
          <w:rFonts w:asciiTheme="majorBidi" w:eastAsia="Arial" w:hAnsiTheme="majorBidi" w:cstheme="majorBidi"/>
          <w:color w:val="252525"/>
          <w:sz w:val="24"/>
          <w:szCs w:val="24"/>
        </w:rPr>
        <w:t>submitted</w:t>
      </w:r>
      <w:r w:rsidRPr="0016026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to </w:t>
      </w:r>
      <w:r w:rsidR="0009538C" w:rsidRPr="0016026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the </w:t>
      </w:r>
      <w:r w:rsidRPr="00160260">
        <w:rPr>
          <w:rFonts w:asciiTheme="majorBidi" w:eastAsia="Arial" w:hAnsiTheme="majorBidi" w:cstheme="majorBidi"/>
          <w:color w:val="252525"/>
          <w:sz w:val="24"/>
          <w:szCs w:val="24"/>
        </w:rPr>
        <w:t>ECO Secretariat before each meeting.</w:t>
      </w:r>
    </w:p>
    <w:p w14:paraId="54841B09" w14:textId="5443A10B" w:rsidR="003F7BC4" w:rsidRDefault="00160260" w:rsidP="00160260">
      <w:pPr>
        <w:pStyle w:val="ListParagraph"/>
        <w:numPr>
          <w:ilvl w:val="0"/>
          <w:numId w:val="41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>
        <w:rPr>
          <w:rFonts w:asciiTheme="majorBidi" w:eastAsia="Arial" w:hAnsiTheme="majorBidi" w:cstheme="majorBidi"/>
          <w:b/>
          <w:bCs/>
          <w:color w:val="252525"/>
          <w:sz w:val="24"/>
          <w:szCs w:val="24"/>
          <w:lang w:val="en-US"/>
        </w:rPr>
        <w:t>Na</w:t>
      </w:r>
      <w:r w:rsidRPr="00160260">
        <w:rPr>
          <w:rFonts w:asciiTheme="majorBidi" w:eastAsia="Arial" w:hAnsiTheme="majorBidi" w:cstheme="majorBidi"/>
          <w:b/>
          <w:bCs/>
          <w:color w:val="252525"/>
          <w:sz w:val="24"/>
          <w:szCs w:val="24"/>
          <w:lang w:val="en-US"/>
        </w:rPr>
        <w:t>tional Focal Institutions (NFIs):</w:t>
      </w:r>
      <w:r w:rsidRPr="00160260">
        <w:rPr>
          <w:rFonts w:asciiTheme="majorBidi" w:eastAsia="Arial" w:hAnsiTheme="majorBidi" w:cstheme="majorBidi"/>
          <w:color w:val="252525"/>
          <w:sz w:val="24"/>
          <w:szCs w:val="24"/>
          <w:lang w:val="en-US"/>
        </w:rPr>
        <w:t xml:space="preserve"> </w:t>
      </w:r>
      <w:r w:rsidR="003F7BC4">
        <w:rPr>
          <w:rFonts w:asciiTheme="majorBidi" w:eastAsia="Arial" w:hAnsiTheme="majorBidi" w:cstheme="majorBidi"/>
          <w:color w:val="252525"/>
          <w:sz w:val="24"/>
          <w:szCs w:val="24"/>
        </w:rPr>
        <w:t xml:space="preserve">Each Member State </w:t>
      </w:r>
      <w:r w:rsidR="007B3F79">
        <w:rPr>
          <w:rFonts w:asciiTheme="majorBidi" w:eastAsia="Arial" w:hAnsiTheme="majorBidi" w:cstheme="majorBidi"/>
          <w:color w:val="252525"/>
          <w:sz w:val="24"/>
          <w:szCs w:val="24"/>
        </w:rPr>
        <w:t xml:space="preserve">shall </w:t>
      </w:r>
      <w:r w:rsidR="003F7BC4">
        <w:rPr>
          <w:rFonts w:asciiTheme="majorBidi" w:eastAsia="Arial" w:hAnsiTheme="majorBidi" w:cstheme="majorBidi"/>
          <w:color w:val="252525"/>
          <w:sz w:val="24"/>
          <w:szCs w:val="24"/>
        </w:rPr>
        <w:t>designate its National Focal Institution (NFI) to HLDPE.</w:t>
      </w: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 </w:t>
      </w:r>
      <w:r w:rsidRPr="00160260">
        <w:rPr>
          <w:rFonts w:asciiTheme="majorBidi" w:eastAsia="Arial" w:hAnsiTheme="majorBidi" w:cstheme="majorBidi"/>
          <w:color w:val="252525"/>
          <w:sz w:val="24"/>
          <w:szCs w:val="24"/>
          <w:lang w:val="en-US"/>
        </w:rPr>
        <w:t>The Chairman and NFIs will play a critical role to ensure that the deliverables are result-oriented, implemented and effectively monitored.</w:t>
      </w:r>
    </w:p>
    <w:p w14:paraId="4E261F06" w14:textId="3B1A68F8" w:rsidR="00160260" w:rsidRPr="00160260" w:rsidRDefault="00160260" w:rsidP="00160260">
      <w:pPr>
        <w:pStyle w:val="ListParagraph"/>
        <w:numPr>
          <w:ilvl w:val="0"/>
          <w:numId w:val="41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 w:rsidRPr="00160260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Thematic Working Groups:</w:t>
      </w:r>
      <w:r w:rsidRPr="00160260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To be estab</w:t>
      </w:r>
      <w:r>
        <w:rPr>
          <w:rFonts w:asciiTheme="majorBidi" w:eastAsia="Arial" w:hAnsiTheme="majorBidi" w:cstheme="majorBidi"/>
          <w:color w:val="252525"/>
          <w:sz w:val="24"/>
          <w:szCs w:val="24"/>
        </w:rPr>
        <w:t xml:space="preserve">lished as needed (e.g., on sand and </w:t>
      </w:r>
      <w:r w:rsidRPr="00160260">
        <w:rPr>
          <w:rFonts w:asciiTheme="majorBidi" w:eastAsia="Arial" w:hAnsiTheme="majorBidi" w:cstheme="majorBidi"/>
          <w:color w:val="252525"/>
          <w:sz w:val="24"/>
          <w:szCs w:val="24"/>
        </w:rPr>
        <w:t>dust storms, air quality, afforestation) to move from dialogue to practical cooperation.</w:t>
      </w:r>
    </w:p>
    <w:p w14:paraId="2780FC47" w14:textId="24D2FBAD" w:rsidR="00160260" w:rsidRDefault="00160260" w:rsidP="00160260">
      <w:pPr>
        <w:pStyle w:val="ListParagraph"/>
        <w:numPr>
          <w:ilvl w:val="0"/>
          <w:numId w:val="41"/>
        </w:numPr>
        <w:jc w:val="both"/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</w:pPr>
      <w:r w:rsidRPr="00160260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Scientific and innovation cooperation:</w:t>
      </w:r>
    </w:p>
    <w:p w14:paraId="1A5AF421" w14:textId="286F76F4" w:rsidR="00160260" w:rsidRPr="00160260" w:rsidRDefault="00160260" w:rsidP="00160260">
      <w:pPr>
        <w:pStyle w:val="ListParagraph"/>
        <w:numPr>
          <w:ilvl w:val="1"/>
          <w:numId w:val="41"/>
        </w:numPr>
        <w:jc w:val="both"/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</w:pPr>
      <w:r w:rsidRPr="00160260">
        <w:rPr>
          <w:rFonts w:asciiTheme="majorBidi" w:eastAsia="Arial" w:hAnsiTheme="majorBidi" w:cstheme="majorBidi"/>
          <w:color w:val="252525"/>
          <w:sz w:val="24"/>
          <w:szCs w:val="24"/>
        </w:rPr>
        <w:t>Leverage existing institutions, including the Research Institute for Combating Desertification and Desert Economy (Tashkent) as a shared platform for research, data exchange, and capacity building.</w:t>
      </w:r>
    </w:p>
    <w:p w14:paraId="5666E37C" w14:textId="62B48F1D" w:rsidR="00160260" w:rsidRPr="00160260" w:rsidRDefault="00160260" w:rsidP="00160260">
      <w:pPr>
        <w:pStyle w:val="ListParagraph"/>
        <w:numPr>
          <w:ilvl w:val="1"/>
          <w:numId w:val="41"/>
        </w:numPr>
        <w:jc w:val="both"/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</w:pPr>
      <w:r w:rsidRPr="00160260">
        <w:rPr>
          <w:rFonts w:asciiTheme="majorBidi" w:eastAsia="Arial" w:hAnsiTheme="majorBidi" w:cstheme="majorBidi"/>
          <w:color w:val="252525"/>
          <w:sz w:val="24"/>
          <w:szCs w:val="24"/>
        </w:rPr>
        <w:t>Promote academic exchange, research residencies, and engagement with Green University and international researchers.</w:t>
      </w:r>
    </w:p>
    <w:p w14:paraId="31765CBA" w14:textId="13216CB6" w:rsidR="001D6BC6" w:rsidRPr="00583C6F" w:rsidRDefault="001D6BC6" w:rsidP="00583C6F">
      <w:pPr>
        <w:pStyle w:val="ListParagraph"/>
        <w:numPr>
          <w:ilvl w:val="0"/>
          <w:numId w:val="41"/>
        </w:numPr>
        <w:jc w:val="both"/>
        <w:rPr>
          <w:rFonts w:asciiTheme="majorBidi" w:eastAsia="Arial" w:hAnsiTheme="majorBidi" w:cstheme="majorBidi"/>
          <w:color w:val="252525"/>
          <w:sz w:val="24"/>
          <w:szCs w:val="24"/>
        </w:rPr>
      </w:pPr>
      <w:r w:rsidRPr="00144D01">
        <w:rPr>
          <w:rFonts w:asciiTheme="majorBidi" w:eastAsia="Arial" w:hAnsiTheme="majorBidi" w:cstheme="majorBidi"/>
          <w:b/>
          <w:bCs/>
          <w:color w:val="252525"/>
          <w:sz w:val="24"/>
          <w:szCs w:val="24"/>
        </w:rPr>
        <w:t>Secretariat role: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 Coordination, </w:t>
      </w:r>
      <w:r w:rsidR="00571C0D">
        <w:rPr>
          <w:rFonts w:asciiTheme="majorBidi" w:eastAsia="Arial" w:hAnsiTheme="majorBidi" w:cstheme="majorBidi"/>
          <w:color w:val="252525"/>
          <w:sz w:val="24"/>
          <w:szCs w:val="24"/>
        </w:rPr>
        <w:t xml:space="preserve">assisting in </w:t>
      </w:r>
      <w:r w:rsidR="007B3F79" w:rsidRPr="00583C6F">
        <w:rPr>
          <w:rFonts w:asciiTheme="majorBidi" w:eastAsia="Arial" w:hAnsiTheme="majorBidi" w:cstheme="majorBidi"/>
          <w:color w:val="252525"/>
          <w:sz w:val="24"/>
          <w:szCs w:val="24"/>
        </w:rPr>
        <w:t xml:space="preserve">preparation </w:t>
      </w:r>
      <w:r w:rsidR="007B3F79">
        <w:rPr>
          <w:rFonts w:asciiTheme="majorBidi" w:eastAsia="Arial" w:hAnsiTheme="majorBidi" w:cstheme="majorBidi"/>
          <w:color w:val="252525"/>
          <w:sz w:val="24"/>
          <w:szCs w:val="24"/>
        </w:rPr>
        <w:t xml:space="preserve">of 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>summary record</w:t>
      </w:r>
      <w:r w:rsidR="007B3F79">
        <w:rPr>
          <w:rFonts w:asciiTheme="majorBidi" w:eastAsia="Arial" w:hAnsiTheme="majorBidi" w:cstheme="majorBidi"/>
          <w:color w:val="252525"/>
          <w:sz w:val="24"/>
          <w:szCs w:val="24"/>
        </w:rPr>
        <w:t>s</w:t>
      </w:r>
      <w:r w:rsidRPr="00583C6F">
        <w:rPr>
          <w:rFonts w:asciiTheme="majorBidi" w:eastAsia="Arial" w:hAnsiTheme="majorBidi" w:cstheme="majorBidi"/>
          <w:color w:val="252525"/>
          <w:sz w:val="24"/>
          <w:szCs w:val="24"/>
        </w:rPr>
        <w:t>, and follow-up.</w:t>
      </w:r>
    </w:p>
    <w:p w14:paraId="6D64A69A" w14:textId="77777777" w:rsidR="00994D4D" w:rsidRPr="009A0082" w:rsidRDefault="00994D4D" w:rsidP="001D6BC6">
      <w:pPr>
        <w:jc w:val="both"/>
        <w:rPr>
          <w:rFonts w:asciiTheme="majorBidi" w:eastAsia="Arial" w:hAnsiTheme="majorBidi" w:cstheme="majorBidi"/>
          <w:color w:val="252525"/>
        </w:rPr>
      </w:pPr>
    </w:p>
    <w:p w14:paraId="5DB13BEA" w14:textId="39E43D51" w:rsidR="001D6BC6" w:rsidRDefault="001D6BC6" w:rsidP="00190919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  <w:r w:rsidRPr="004D75FE">
        <w:rPr>
          <w:rFonts w:asciiTheme="majorBidi" w:eastAsia="Arial" w:hAnsiTheme="majorBidi" w:cstheme="majorBidi"/>
          <w:b/>
          <w:bCs/>
          <w:color w:val="252525"/>
        </w:rPr>
        <w:t xml:space="preserve">7. Next Steps </w:t>
      </w:r>
    </w:p>
    <w:p w14:paraId="06CA1FA7" w14:textId="77777777" w:rsidR="00A45379" w:rsidRDefault="00A45379" w:rsidP="001D6BC6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5379" w14:paraId="4C839658" w14:textId="77777777" w:rsidTr="00A45379">
        <w:tc>
          <w:tcPr>
            <w:tcW w:w="4675" w:type="dxa"/>
          </w:tcPr>
          <w:p w14:paraId="5E09C28D" w14:textId="5F40B85F" w:rsidR="00A45379" w:rsidRDefault="00A45379" w:rsidP="00A45379">
            <w:pPr>
              <w:rPr>
                <w:rFonts w:asciiTheme="majorBidi" w:eastAsia="Arial" w:hAnsiTheme="majorBidi" w:cstheme="majorBidi"/>
                <w:b/>
                <w:bCs/>
                <w:color w:val="252525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252525"/>
              </w:rPr>
              <w:t>Action</w:t>
            </w:r>
          </w:p>
        </w:tc>
        <w:tc>
          <w:tcPr>
            <w:tcW w:w="4675" w:type="dxa"/>
          </w:tcPr>
          <w:p w14:paraId="377988D8" w14:textId="325D9C8B" w:rsidR="00A45379" w:rsidRDefault="00A45379" w:rsidP="00A45379">
            <w:pPr>
              <w:rPr>
                <w:rFonts w:asciiTheme="majorBidi" w:eastAsia="Arial" w:hAnsiTheme="majorBidi" w:cstheme="majorBidi"/>
                <w:b/>
                <w:bCs/>
                <w:color w:val="252525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252525"/>
              </w:rPr>
              <w:t>Deadline / Timeline</w:t>
            </w:r>
          </w:p>
        </w:tc>
      </w:tr>
      <w:tr w:rsidR="00A45379" w:rsidRPr="00190919" w14:paraId="48746A2D" w14:textId="77777777" w:rsidTr="00A45379">
        <w:tc>
          <w:tcPr>
            <w:tcW w:w="4675" w:type="dxa"/>
          </w:tcPr>
          <w:p w14:paraId="6F2B7992" w14:textId="48306B9C" w:rsidR="00A45379" w:rsidRPr="00190919" w:rsidRDefault="00A45379" w:rsidP="005E3615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Secretariat circulates the revised </w:t>
            </w:r>
            <w:r w:rsidR="005E3615"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r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oadmap</w:t>
            </w:r>
          </w:p>
        </w:tc>
        <w:tc>
          <w:tcPr>
            <w:tcW w:w="4675" w:type="dxa"/>
          </w:tcPr>
          <w:p w14:paraId="71E3BA71" w14:textId="204DBB16" w:rsidR="00A45379" w:rsidRPr="00190919" w:rsidRDefault="00A45379" w:rsidP="001D6BC6">
            <w:pPr>
              <w:jc w:val="both"/>
              <w:rPr>
                <w:rFonts w:asciiTheme="majorBidi" w:eastAsia="Arial" w:hAnsiTheme="majorBidi" w:cstheme="majorBidi"/>
                <w:b/>
                <w:bCs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May 2026</w:t>
            </w:r>
          </w:p>
        </w:tc>
      </w:tr>
      <w:tr w:rsidR="00A45379" w:rsidRPr="00190919" w14:paraId="5077754F" w14:textId="77777777" w:rsidTr="00A45379">
        <w:tc>
          <w:tcPr>
            <w:tcW w:w="4675" w:type="dxa"/>
          </w:tcPr>
          <w:p w14:paraId="351A1432" w14:textId="4144FE8F" w:rsidR="00A45379" w:rsidRPr="00190919" w:rsidRDefault="00284711" w:rsidP="00190919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Submit </w:t>
            </w:r>
            <w:r w:rsidR="005E3615"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the final draft r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oadmap via ECO Working Group on Environment to the 6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  <w:vertAlign w:val="superscript"/>
              </w:rPr>
              <w:t>th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ECO Ministerial Meeting on Environment</w:t>
            </w:r>
            <w:r w:rsidR="005E3615"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for </w:t>
            </w:r>
            <w:r w:rsid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endorsement</w:t>
            </w:r>
          </w:p>
        </w:tc>
        <w:tc>
          <w:tcPr>
            <w:tcW w:w="4675" w:type="dxa"/>
          </w:tcPr>
          <w:p w14:paraId="61C8312A" w14:textId="77777777" w:rsidR="00A45379" w:rsidRPr="00190919" w:rsidRDefault="00A45379" w:rsidP="001D6BC6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44857F75" w14:textId="5812F205" w:rsidR="00284711" w:rsidRPr="00190919" w:rsidRDefault="00284711" w:rsidP="001D6BC6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By 3 June 2026 (Samarkand)</w:t>
            </w:r>
          </w:p>
        </w:tc>
      </w:tr>
      <w:tr w:rsidR="00A45379" w:rsidRPr="00190919" w14:paraId="0E6C8AEE" w14:textId="77777777" w:rsidTr="00A45379">
        <w:tc>
          <w:tcPr>
            <w:tcW w:w="4675" w:type="dxa"/>
          </w:tcPr>
          <w:p w14:paraId="11DC2E52" w14:textId="50C3E699" w:rsidR="00A45379" w:rsidRPr="00190919" w:rsidRDefault="00284711" w:rsidP="00284711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Call for a host for the 2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  <w:vertAlign w:val="superscript"/>
              </w:rPr>
              <w:t>nd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HLDPE (2027)</w:t>
            </w:r>
          </w:p>
        </w:tc>
        <w:tc>
          <w:tcPr>
            <w:tcW w:w="4675" w:type="dxa"/>
          </w:tcPr>
          <w:p w14:paraId="46E9B25E" w14:textId="2EE88525" w:rsidR="00A45379" w:rsidRPr="00190919" w:rsidRDefault="00284711" w:rsidP="001D6BC6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During</w:t>
            </w:r>
            <w:r w:rsidR="004772F0"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(and if necessary after)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the 6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  <w:vertAlign w:val="superscript"/>
              </w:rPr>
              <w:t>th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ECO Ministerial Meeting on Environment</w:t>
            </w:r>
          </w:p>
        </w:tc>
      </w:tr>
      <w:tr w:rsidR="00A45379" w:rsidRPr="00190919" w14:paraId="2735ECCA" w14:textId="77777777" w:rsidTr="00A45379">
        <w:tc>
          <w:tcPr>
            <w:tcW w:w="4675" w:type="dxa"/>
          </w:tcPr>
          <w:p w14:paraId="751A8A93" w14:textId="68409B05" w:rsidR="00A45379" w:rsidRPr="00190919" w:rsidRDefault="00284711" w:rsidP="005E3615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Confirm thematic focus for 2</w:t>
            </w:r>
            <w:r w:rsidR="005E3615"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  <w:vertAlign w:val="superscript"/>
              </w:rPr>
              <w:t>nd</w:t>
            </w:r>
            <w:r w:rsidR="005E3615"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HLDPE based on </w:t>
            </w:r>
            <w:r w:rsidR="005E3615"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first meeting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outcomes</w:t>
            </w:r>
          </w:p>
        </w:tc>
        <w:tc>
          <w:tcPr>
            <w:tcW w:w="4675" w:type="dxa"/>
          </w:tcPr>
          <w:p w14:paraId="1643197F" w14:textId="51EA0DBB" w:rsidR="00A45379" w:rsidRPr="00190919" w:rsidRDefault="00284711" w:rsidP="00284711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October 2026</w:t>
            </w:r>
          </w:p>
        </w:tc>
      </w:tr>
      <w:tr w:rsidR="00A45379" w:rsidRPr="00190919" w14:paraId="4AB1C2E8" w14:textId="77777777" w:rsidTr="00A45379">
        <w:tc>
          <w:tcPr>
            <w:tcW w:w="4675" w:type="dxa"/>
          </w:tcPr>
          <w:p w14:paraId="5AC9B814" w14:textId="2A6D533C" w:rsidR="00A45379" w:rsidRPr="00190919" w:rsidRDefault="00284711" w:rsidP="005E3615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Launch first virtual thematic session (sand</w:t>
            </w:r>
            <w:r w:rsidR="005E3615"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and 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dust storms + air quality)</w:t>
            </w:r>
          </w:p>
        </w:tc>
        <w:tc>
          <w:tcPr>
            <w:tcW w:w="4675" w:type="dxa"/>
          </w:tcPr>
          <w:p w14:paraId="07A7C809" w14:textId="20467AF7" w:rsidR="00A45379" w:rsidRPr="00190919" w:rsidRDefault="00284711" w:rsidP="00284711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December 2026</w:t>
            </w:r>
          </w:p>
        </w:tc>
      </w:tr>
      <w:tr w:rsidR="00A45379" w:rsidRPr="00190919" w14:paraId="7D9F31A6" w14:textId="77777777" w:rsidTr="00A45379">
        <w:tc>
          <w:tcPr>
            <w:tcW w:w="4675" w:type="dxa"/>
          </w:tcPr>
          <w:p w14:paraId="208F1C9E" w14:textId="1EB4B796" w:rsidR="00A45379" w:rsidRPr="00190919" w:rsidRDefault="004772F0" w:rsidP="004772F0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Encourage development of pilot initiatives (for instance</w:t>
            </w:r>
            <w:r w:rsidR="005E3615"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</w:t>
            </w: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Kazakhstan-Uzbekistan clean air consortium model, </w:t>
            </w:r>
            <w:proofErr w:type="spellStart"/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transboundary</w:t>
            </w:r>
            <w:proofErr w:type="spellEnd"/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 xml:space="preserve"> afforestation)</w:t>
            </w:r>
          </w:p>
        </w:tc>
        <w:tc>
          <w:tcPr>
            <w:tcW w:w="4675" w:type="dxa"/>
          </w:tcPr>
          <w:p w14:paraId="3F396AE9" w14:textId="77777777" w:rsidR="004772F0" w:rsidRPr="00190919" w:rsidRDefault="004772F0" w:rsidP="004772F0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</w:p>
          <w:p w14:paraId="2D49A72D" w14:textId="2F53CB46" w:rsidR="00A45379" w:rsidRPr="00190919" w:rsidRDefault="004772F0" w:rsidP="004772F0">
            <w:pPr>
              <w:jc w:val="both"/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</w:pPr>
            <w:r w:rsidRPr="00190919">
              <w:rPr>
                <w:rFonts w:asciiTheme="majorBidi" w:eastAsia="Arial" w:hAnsiTheme="majorBidi" w:cstheme="majorBidi"/>
                <w:color w:val="252525"/>
                <w:sz w:val="20"/>
                <w:szCs w:val="20"/>
              </w:rPr>
              <w:t>Ongoing from 2026 onward</w:t>
            </w:r>
          </w:p>
        </w:tc>
      </w:tr>
    </w:tbl>
    <w:p w14:paraId="132D0D08" w14:textId="77777777" w:rsidR="00A45379" w:rsidRDefault="00A45379" w:rsidP="001D6BC6">
      <w:pPr>
        <w:jc w:val="both"/>
        <w:rPr>
          <w:rFonts w:asciiTheme="majorBidi" w:eastAsia="Arial" w:hAnsiTheme="majorBidi" w:cstheme="majorBidi"/>
          <w:b/>
          <w:bCs/>
          <w:color w:val="252525"/>
        </w:rPr>
      </w:pPr>
    </w:p>
    <w:sectPr w:rsidR="00A45379" w:rsidSect="003D16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15" w:right="1197" w:bottom="1080" w:left="1350" w:header="568" w:footer="2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55263" w14:textId="77777777" w:rsidR="00F61044" w:rsidRDefault="00F61044" w:rsidP="00C931FC">
      <w:r>
        <w:separator/>
      </w:r>
    </w:p>
  </w:endnote>
  <w:endnote w:type="continuationSeparator" w:id="0">
    <w:p w14:paraId="27E04B63" w14:textId="77777777" w:rsidR="00F61044" w:rsidRDefault="00F61044" w:rsidP="00C9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D4885" w14:textId="77777777" w:rsidR="00E36C9C" w:rsidRDefault="00E36C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363B2" w14:textId="77777777" w:rsidR="00C6023A" w:rsidRDefault="00B845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2D90">
      <w:rPr>
        <w:noProof/>
      </w:rPr>
      <w:t>2</w:t>
    </w:r>
    <w:r>
      <w:rPr>
        <w:noProof/>
      </w:rPr>
      <w:fldChar w:fldCharType="end"/>
    </w:r>
  </w:p>
  <w:p w14:paraId="66E4793B" w14:textId="77777777" w:rsidR="00C6023A" w:rsidRDefault="00C6023A" w:rsidP="007A7436">
    <w:pPr>
      <w:pStyle w:val="Footer"/>
      <w:ind w:lef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DB7FC" w14:textId="77777777" w:rsidR="00E36C9C" w:rsidRDefault="00E36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0668F" w14:textId="77777777" w:rsidR="00F61044" w:rsidRDefault="00F61044" w:rsidP="00C931FC">
      <w:r>
        <w:separator/>
      </w:r>
    </w:p>
  </w:footnote>
  <w:footnote w:type="continuationSeparator" w:id="0">
    <w:p w14:paraId="04F464CE" w14:textId="77777777" w:rsidR="00F61044" w:rsidRDefault="00F61044" w:rsidP="00C93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9493F" w14:textId="77777777" w:rsidR="00E36C9C" w:rsidRDefault="00E36C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881B" w14:textId="77777777" w:rsidR="00C6023A" w:rsidRPr="002B3FD9" w:rsidRDefault="00C6023A" w:rsidP="002B3F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4C064" w14:textId="3CD45164" w:rsidR="00C6023A" w:rsidRPr="00591A7A" w:rsidRDefault="00E36C9C" w:rsidP="00B51ADD">
    <w:pPr>
      <w:pStyle w:val="Header"/>
      <w:tabs>
        <w:tab w:val="clear" w:pos="9360"/>
      </w:tabs>
      <w:ind w:right="-471"/>
      <w:jc w:val="right"/>
      <w:rPr>
        <w:rFonts w:ascii="Book Antiqua" w:hAnsi="Book Antiqua"/>
        <w:b/>
        <w:bCs/>
        <w:sz w:val="16"/>
        <w:szCs w:val="16"/>
      </w:rPr>
    </w:pPr>
    <w:r>
      <w:rPr>
        <w:rFonts w:ascii="Book Antiqua" w:hAnsi="Book Antiqua"/>
        <w:bCs/>
        <w:i/>
        <w:iCs/>
        <w:noProof/>
        <w:sz w:val="16"/>
        <w:szCs w:val="16"/>
      </w:rPr>
      <w:t>A</w:t>
    </w:r>
    <w:r w:rsidR="000A574E">
      <w:rPr>
        <w:rFonts w:ascii="Book Antiqua" w:hAnsi="Book Antiqua"/>
        <w:bCs/>
        <w:i/>
        <w:iCs/>
        <w:noProof/>
        <w:sz w:val="16"/>
        <w:szCs w:val="16"/>
      </w:rPr>
      <w:t xml:space="preserve">s of </w:t>
    </w:r>
    <w:r w:rsidR="00B51ADD">
      <w:rPr>
        <w:rFonts w:ascii="Book Antiqua" w:hAnsi="Book Antiqua"/>
        <w:bCs/>
        <w:i/>
        <w:iCs/>
        <w:noProof/>
        <w:sz w:val="16"/>
        <w:szCs w:val="16"/>
      </w:rPr>
      <w:t>May</w:t>
    </w:r>
    <w:r w:rsidR="00C6023A">
      <w:rPr>
        <w:rFonts w:ascii="Book Antiqua" w:hAnsi="Book Antiqua"/>
        <w:bCs/>
        <w:i/>
        <w:iCs/>
        <w:noProof/>
        <w:sz w:val="16"/>
        <w:szCs w:val="16"/>
      </w:rPr>
      <w:t xml:space="preserve"> </w:t>
    </w:r>
    <w:r>
      <w:rPr>
        <w:rFonts w:ascii="Book Antiqua" w:hAnsi="Book Antiqua"/>
        <w:bCs/>
        <w:i/>
        <w:iCs/>
        <w:noProof/>
        <w:sz w:val="16"/>
        <w:szCs w:val="16"/>
      </w:rPr>
      <w:t>1</w:t>
    </w:r>
    <w:r w:rsidR="00B51ADD">
      <w:rPr>
        <w:rFonts w:ascii="Book Antiqua" w:hAnsi="Book Antiqua"/>
        <w:bCs/>
        <w:i/>
        <w:iCs/>
        <w:noProof/>
        <w:sz w:val="16"/>
        <w:szCs w:val="16"/>
      </w:rPr>
      <w:t>8</w:t>
    </w:r>
    <w:r w:rsidR="00C6023A">
      <w:rPr>
        <w:rFonts w:ascii="Book Antiqua" w:hAnsi="Book Antiqua"/>
        <w:bCs/>
        <w:i/>
        <w:iCs/>
        <w:noProof/>
        <w:sz w:val="16"/>
        <w:szCs w:val="16"/>
      </w:rPr>
      <w:t xml:space="preserve">, </w:t>
    </w:r>
    <w:r w:rsidR="00C6023A" w:rsidRPr="0080706B">
      <w:rPr>
        <w:rFonts w:ascii="Book Antiqua" w:hAnsi="Book Antiqua"/>
        <w:bCs/>
        <w:i/>
        <w:iCs/>
        <w:noProof/>
        <w:sz w:val="18"/>
      </w:rPr>
      <w:t>20</w:t>
    </w:r>
    <w:r w:rsidR="00C6023A">
      <w:rPr>
        <w:rFonts w:ascii="Book Antiqua" w:hAnsi="Book Antiqua"/>
        <w:bCs/>
        <w:i/>
        <w:iCs/>
        <w:noProof/>
        <w:sz w:val="18"/>
      </w:rPr>
      <w:t>2</w:t>
    </w:r>
    <w:r>
      <w:rPr>
        <w:rFonts w:ascii="Book Antiqua" w:hAnsi="Book Antiqua"/>
        <w:bCs/>
        <w:i/>
        <w:iCs/>
        <w:noProof/>
        <w:sz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1641"/>
    <w:multiLevelType w:val="hybridMultilevel"/>
    <w:tmpl w:val="A4C216F2"/>
    <w:lvl w:ilvl="0" w:tplc="F7CE51BA">
      <w:start w:val="8"/>
      <w:numFmt w:val="bullet"/>
      <w:lvlText w:val="-"/>
      <w:lvlJc w:val="left"/>
      <w:pPr>
        <w:ind w:left="927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337733D"/>
    <w:multiLevelType w:val="hybridMultilevel"/>
    <w:tmpl w:val="8ABA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774B2"/>
    <w:multiLevelType w:val="hybridMultilevel"/>
    <w:tmpl w:val="8B92D966"/>
    <w:lvl w:ilvl="0" w:tplc="E0E4108E">
      <w:start w:val="894"/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4F55C64"/>
    <w:multiLevelType w:val="hybridMultilevel"/>
    <w:tmpl w:val="BC6027E4"/>
    <w:lvl w:ilvl="0" w:tplc="60AC1B6E">
      <w:start w:val="9"/>
      <w:numFmt w:val="bullet"/>
      <w:lvlText w:val="-"/>
      <w:lvlJc w:val="left"/>
      <w:pPr>
        <w:ind w:left="1020" w:hanging="360"/>
      </w:pPr>
      <w:rPr>
        <w:rFonts w:ascii="Book Antiqua" w:eastAsia="Times New Roman" w:hAnsi="Book Antiqua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04FD1EEC"/>
    <w:multiLevelType w:val="hybridMultilevel"/>
    <w:tmpl w:val="F6F8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C4DE3"/>
    <w:multiLevelType w:val="hybridMultilevel"/>
    <w:tmpl w:val="1F901EDA"/>
    <w:lvl w:ilvl="0" w:tplc="BE2C42AC">
      <w:start w:val="9"/>
      <w:numFmt w:val="bullet"/>
      <w:lvlText w:val="-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8EC6724"/>
    <w:multiLevelType w:val="hybridMultilevel"/>
    <w:tmpl w:val="194E4142"/>
    <w:lvl w:ilvl="0" w:tplc="4BB02FF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83261"/>
    <w:multiLevelType w:val="hybridMultilevel"/>
    <w:tmpl w:val="E422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53E06"/>
    <w:multiLevelType w:val="hybridMultilevel"/>
    <w:tmpl w:val="C48CC320"/>
    <w:lvl w:ilvl="0" w:tplc="4332305C">
      <w:start w:val="1"/>
      <w:numFmt w:val="bullet"/>
      <w:lvlText w:val=""/>
      <w:lvlJc w:val="left"/>
      <w:pPr>
        <w:ind w:left="1223" w:hanging="360"/>
      </w:pPr>
      <w:rPr>
        <w:rFonts w:ascii="Wingdings" w:hAnsi="Wingdings" w:hint="default"/>
        <w:b w:val="0"/>
        <w:color w:val="auto"/>
        <w:sz w:val="24"/>
        <w:szCs w:val="24"/>
        <w:lang w:val="tr-TR"/>
      </w:rPr>
    </w:lvl>
    <w:lvl w:ilvl="1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2" w:tplc="F9F85918">
      <w:start w:val="1"/>
      <w:numFmt w:val="lowerLetter"/>
      <w:lvlText w:val="%3)"/>
      <w:lvlJc w:val="left"/>
      <w:pPr>
        <w:ind w:left="2123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>
    <w:nsid w:val="10A8249E"/>
    <w:multiLevelType w:val="hybridMultilevel"/>
    <w:tmpl w:val="FF0E79FC"/>
    <w:lvl w:ilvl="0" w:tplc="AA840BFC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E843FC"/>
    <w:multiLevelType w:val="hybridMultilevel"/>
    <w:tmpl w:val="F86E2D9E"/>
    <w:lvl w:ilvl="0" w:tplc="74B0193A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171B1932"/>
    <w:multiLevelType w:val="hybridMultilevel"/>
    <w:tmpl w:val="E1727146"/>
    <w:lvl w:ilvl="0" w:tplc="2370D4EC">
      <w:start w:val="894"/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18A81080"/>
    <w:multiLevelType w:val="hybridMultilevel"/>
    <w:tmpl w:val="5CCED2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21AB9"/>
    <w:multiLevelType w:val="hybridMultilevel"/>
    <w:tmpl w:val="C2DA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73A3D"/>
    <w:multiLevelType w:val="hybridMultilevel"/>
    <w:tmpl w:val="CEE0DF00"/>
    <w:lvl w:ilvl="0" w:tplc="523C2564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0045"/>
    <w:multiLevelType w:val="hybridMultilevel"/>
    <w:tmpl w:val="EE7E0366"/>
    <w:lvl w:ilvl="0" w:tplc="92AC69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E7A64"/>
    <w:multiLevelType w:val="hybridMultilevel"/>
    <w:tmpl w:val="581CACFA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2AC694E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B3B6F"/>
    <w:multiLevelType w:val="hybridMultilevel"/>
    <w:tmpl w:val="DE52A868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D4E37F6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F52B0"/>
    <w:multiLevelType w:val="hybridMultilevel"/>
    <w:tmpl w:val="D460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27271"/>
    <w:multiLevelType w:val="hybridMultilevel"/>
    <w:tmpl w:val="173843E0"/>
    <w:lvl w:ilvl="0" w:tplc="748A6AC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120CE"/>
    <w:multiLevelType w:val="hybridMultilevel"/>
    <w:tmpl w:val="948EA8B0"/>
    <w:lvl w:ilvl="0" w:tplc="EFB0FC4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50D74"/>
    <w:multiLevelType w:val="hybridMultilevel"/>
    <w:tmpl w:val="9E7A1618"/>
    <w:lvl w:ilvl="0" w:tplc="09D81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  <w:lang w:val="tr-TR"/>
      </w:rPr>
    </w:lvl>
    <w:lvl w:ilvl="1" w:tplc="56766E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E67A988A">
      <w:start w:val="1"/>
      <w:numFmt w:val="lowerLetter"/>
      <w:lvlText w:val="(%3)"/>
      <w:lvlJc w:val="left"/>
      <w:pPr>
        <w:ind w:left="2430" w:hanging="45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485B3B"/>
    <w:multiLevelType w:val="hybridMultilevel"/>
    <w:tmpl w:val="DE52A868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D4E37F6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74154"/>
    <w:multiLevelType w:val="hybridMultilevel"/>
    <w:tmpl w:val="DE52A868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D4E37F6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821AE"/>
    <w:multiLevelType w:val="hybridMultilevel"/>
    <w:tmpl w:val="754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04837"/>
    <w:multiLevelType w:val="hybridMultilevel"/>
    <w:tmpl w:val="682CBC68"/>
    <w:lvl w:ilvl="0" w:tplc="53183AC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A28E9"/>
    <w:multiLevelType w:val="hybridMultilevel"/>
    <w:tmpl w:val="8CE6F848"/>
    <w:lvl w:ilvl="0" w:tplc="2064EA8C">
      <w:start w:val="1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D30BA7"/>
    <w:multiLevelType w:val="hybridMultilevel"/>
    <w:tmpl w:val="8B02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F576E"/>
    <w:multiLevelType w:val="hybridMultilevel"/>
    <w:tmpl w:val="11BE1D40"/>
    <w:lvl w:ilvl="0" w:tplc="6144C7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i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2383"/>
    <w:multiLevelType w:val="hybridMultilevel"/>
    <w:tmpl w:val="0D1C266E"/>
    <w:lvl w:ilvl="0" w:tplc="4BB02FF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E17E3"/>
    <w:multiLevelType w:val="hybridMultilevel"/>
    <w:tmpl w:val="55AAE7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22132C"/>
    <w:multiLevelType w:val="hybridMultilevel"/>
    <w:tmpl w:val="4412C4CA"/>
    <w:lvl w:ilvl="0" w:tplc="92AC69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4083"/>
    <w:multiLevelType w:val="hybridMultilevel"/>
    <w:tmpl w:val="581CACFA"/>
    <w:lvl w:ilvl="0" w:tplc="BE3A5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2AC694E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color w:val="auto"/>
        <w:lang w:val="en-GB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22E38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E8A5B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D65F7"/>
    <w:multiLevelType w:val="hybridMultilevel"/>
    <w:tmpl w:val="B106E1DC"/>
    <w:lvl w:ilvl="0" w:tplc="481232A8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60C816E8"/>
    <w:multiLevelType w:val="hybridMultilevel"/>
    <w:tmpl w:val="CDDE63B2"/>
    <w:lvl w:ilvl="0" w:tplc="251C1346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Arial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776AFB"/>
    <w:multiLevelType w:val="hybridMultilevel"/>
    <w:tmpl w:val="DDCA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B3D3A"/>
    <w:multiLevelType w:val="hybridMultilevel"/>
    <w:tmpl w:val="7482F9B4"/>
    <w:lvl w:ilvl="0" w:tplc="03985864">
      <w:start w:val="18"/>
      <w:numFmt w:val="bullet"/>
      <w:lvlText w:val="-"/>
      <w:lvlJc w:val="left"/>
      <w:pPr>
        <w:ind w:left="168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7">
    <w:nsid w:val="6D617722"/>
    <w:multiLevelType w:val="hybridMultilevel"/>
    <w:tmpl w:val="508A0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D4B83"/>
    <w:multiLevelType w:val="hybridMultilevel"/>
    <w:tmpl w:val="6A7C9792"/>
    <w:lvl w:ilvl="0" w:tplc="8572DAB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16D50"/>
    <w:multiLevelType w:val="hybridMultilevel"/>
    <w:tmpl w:val="41CEE2E4"/>
    <w:lvl w:ilvl="0" w:tplc="FB489036">
      <w:start w:val="1"/>
      <w:numFmt w:val="upperRoman"/>
      <w:lvlText w:val="%1."/>
      <w:lvlJc w:val="left"/>
      <w:pPr>
        <w:ind w:left="720" w:hanging="360"/>
      </w:pPr>
      <w:rPr>
        <w:rFonts w:asciiTheme="majorBidi" w:eastAsia="Arial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149BD"/>
    <w:multiLevelType w:val="hybridMultilevel"/>
    <w:tmpl w:val="44443B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40"/>
  </w:num>
  <w:num w:numId="4">
    <w:abstractNumId w:val="30"/>
  </w:num>
  <w:num w:numId="5">
    <w:abstractNumId w:val="3"/>
  </w:num>
  <w:num w:numId="6">
    <w:abstractNumId w:val="5"/>
  </w:num>
  <w:num w:numId="7">
    <w:abstractNumId w:val="6"/>
  </w:num>
  <w:num w:numId="8">
    <w:abstractNumId w:val="29"/>
  </w:num>
  <w:num w:numId="9">
    <w:abstractNumId w:val="24"/>
  </w:num>
  <w:num w:numId="10">
    <w:abstractNumId w:val="14"/>
  </w:num>
  <w:num w:numId="11">
    <w:abstractNumId w:val="26"/>
  </w:num>
  <w:num w:numId="12">
    <w:abstractNumId w:val="36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4"/>
  </w:num>
  <w:num w:numId="16">
    <w:abstractNumId w:val="19"/>
  </w:num>
  <w:num w:numId="17">
    <w:abstractNumId w:val="12"/>
  </w:num>
  <w:num w:numId="18">
    <w:abstractNumId w:val="21"/>
  </w:num>
  <w:num w:numId="19">
    <w:abstractNumId w:val="27"/>
  </w:num>
  <w:num w:numId="20">
    <w:abstractNumId w:val="15"/>
  </w:num>
  <w:num w:numId="21">
    <w:abstractNumId w:val="31"/>
  </w:num>
  <w:num w:numId="22">
    <w:abstractNumId w:val="32"/>
  </w:num>
  <w:num w:numId="23">
    <w:abstractNumId w:val="25"/>
  </w:num>
  <w:num w:numId="24">
    <w:abstractNumId w:val="17"/>
  </w:num>
  <w:num w:numId="25">
    <w:abstractNumId w:val="22"/>
  </w:num>
  <w:num w:numId="2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0"/>
  </w:num>
  <w:num w:numId="29">
    <w:abstractNumId w:val="38"/>
  </w:num>
  <w:num w:numId="30">
    <w:abstractNumId w:val="20"/>
  </w:num>
  <w:num w:numId="31">
    <w:abstractNumId w:val="9"/>
  </w:num>
  <w:num w:numId="32">
    <w:abstractNumId w:val="2"/>
  </w:num>
  <w:num w:numId="33">
    <w:abstractNumId w:val="11"/>
  </w:num>
  <w:num w:numId="34">
    <w:abstractNumId w:val="37"/>
  </w:num>
  <w:num w:numId="35">
    <w:abstractNumId w:val="33"/>
  </w:num>
  <w:num w:numId="36">
    <w:abstractNumId w:val="7"/>
  </w:num>
  <w:num w:numId="37">
    <w:abstractNumId w:val="4"/>
  </w:num>
  <w:num w:numId="38">
    <w:abstractNumId w:val="1"/>
  </w:num>
  <w:num w:numId="39">
    <w:abstractNumId w:val="35"/>
  </w:num>
  <w:num w:numId="40">
    <w:abstractNumId w:val="39"/>
  </w:num>
  <w:num w:numId="41">
    <w:abstractNumId w:val="1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87"/>
    <w:rsid w:val="00000A84"/>
    <w:rsid w:val="00001822"/>
    <w:rsid w:val="00001877"/>
    <w:rsid w:val="0000609B"/>
    <w:rsid w:val="000078CE"/>
    <w:rsid w:val="0001482B"/>
    <w:rsid w:val="00017558"/>
    <w:rsid w:val="00017B60"/>
    <w:rsid w:val="00017EB2"/>
    <w:rsid w:val="0002092F"/>
    <w:rsid w:val="00020BE5"/>
    <w:rsid w:val="00023D0F"/>
    <w:rsid w:val="0002686E"/>
    <w:rsid w:val="00026C5E"/>
    <w:rsid w:val="00031886"/>
    <w:rsid w:val="00032223"/>
    <w:rsid w:val="00043934"/>
    <w:rsid w:val="00044437"/>
    <w:rsid w:val="00046F37"/>
    <w:rsid w:val="0004776B"/>
    <w:rsid w:val="00051361"/>
    <w:rsid w:val="00051383"/>
    <w:rsid w:val="000540CF"/>
    <w:rsid w:val="00054CC5"/>
    <w:rsid w:val="00055DC9"/>
    <w:rsid w:val="0006321B"/>
    <w:rsid w:val="000632C8"/>
    <w:rsid w:val="00064957"/>
    <w:rsid w:val="00064E1C"/>
    <w:rsid w:val="00067345"/>
    <w:rsid w:val="00067F5C"/>
    <w:rsid w:val="00075A1A"/>
    <w:rsid w:val="00076132"/>
    <w:rsid w:val="00076DB4"/>
    <w:rsid w:val="00080481"/>
    <w:rsid w:val="000804F1"/>
    <w:rsid w:val="00081631"/>
    <w:rsid w:val="000816FA"/>
    <w:rsid w:val="000829F3"/>
    <w:rsid w:val="000835E8"/>
    <w:rsid w:val="00085EDE"/>
    <w:rsid w:val="00086438"/>
    <w:rsid w:val="0008799F"/>
    <w:rsid w:val="000908F5"/>
    <w:rsid w:val="0009146C"/>
    <w:rsid w:val="00092559"/>
    <w:rsid w:val="0009538C"/>
    <w:rsid w:val="0009579A"/>
    <w:rsid w:val="00096052"/>
    <w:rsid w:val="000A05BB"/>
    <w:rsid w:val="000A186A"/>
    <w:rsid w:val="000A1A3C"/>
    <w:rsid w:val="000A1C01"/>
    <w:rsid w:val="000A1E53"/>
    <w:rsid w:val="000A308C"/>
    <w:rsid w:val="000A33B0"/>
    <w:rsid w:val="000A495C"/>
    <w:rsid w:val="000A4C92"/>
    <w:rsid w:val="000A574E"/>
    <w:rsid w:val="000A716C"/>
    <w:rsid w:val="000B063A"/>
    <w:rsid w:val="000B2CF4"/>
    <w:rsid w:val="000B32F2"/>
    <w:rsid w:val="000B4846"/>
    <w:rsid w:val="000B5788"/>
    <w:rsid w:val="000B5BEA"/>
    <w:rsid w:val="000C0056"/>
    <w:rsid w:val="000C2A44"/>
    <w:rsid w:val="000C3B1C"/>
    <w:rsid w:val="000C45DA"/>
    <w:rsid w:val="000C5078"/>
    <w:rsid w:val="000C566B"/>
    <w:rsid w:val="000C57A2"/>
    <w:rsid w:val="000D14DC"/>
    <w:rsid w:val="000D2D6E"/>
    <w:rsid w:val="000D4CC1"/>
    <w:rsid w:val="000D5BFD"/>
    <w:rsid w:val="000E1217"/>
    <w:rsid w:val="000E3324"/>
    <w:rsid w:val="000E50EF"/>
    <w:rsid w:val="000E5ED4"/>
    <w:rsid w:val="000E5F56"/>
    <w:rsid w:val="000E64D4"/>
    <w:rsid w:val="000E69DD"/>
    <w:rsid w:val="000E7578"/>
    <w:rsid w:val="000F0D27"/>
    <w:rsid w:val="000F2F19"/>
    <w:rsid w:val="000F3686"/>
    <w:rsid w:val="000F5AA2"/>
    <w:rsid w:val="001056FE"/>
    <w:rsid w:val="00105788"/>
    <w:rsid w:val="001057CD"/>
    <w:rsid w:val="00106BA0"/>
    <w:rsid w:val="001071FC"/>
    <w:rsid w:val="00110148"/>
    <w:rsid w:val="001110F7"/>
    <w:rsid w:val="00111F3E"/>
    <w:rsid w:val="00113249"/>
    <w:rsid w:val="00113C8A"/>
    <w:rsid w:val="001141EA"/>
    <w:rsid w:val="00114265"/>
    <w:rsid w:val="00120AC5"/>
    <w:rsid w:val="00122FBD"/>
    <w:rsid w:val="00126F5D"/>
    <w:rsid w:val="0013147D"/>
    <w:rsid w:val="001323CD"/>
    <w:rsid w:val="00133F6A"/>
    <w:rsid w:val="00135BD6"/>
    <w:rsid w:val="00136680"/>
    <w:rsid w:val="001400A5"/>
    <w:rsid w:val="00141F81"/>
    <w:rsid w:val="00144D01"/>
    <w:rsid w:val="001460A3"/>
    <w:rsid w:val="001469AA"/>
    <w:rsid w:val="00150A28"/>
    <w:rsid w:val="00150DDD"/>
    <w:rsid w:val="00152627"/>
    <w:rsid w:val="00152746"/>
    <w:rsid w:val="001567E9"/>
    <w:rsid w:val="00160260"/>
    <w:rsid w:val="00173B87"/>
    <w:rsid w:val="00174A1B"/>
    <w:rsid w:val="001763BC"/>
    <w:rsid w:val="00177E55"/>
    <w:rsid w:val="00180724"/>
    <w:rsid w:val="00181395"/>
    <w:rsid w:val="001833B6"/>
    <w:rsid w:val="00183D70"/>
    <w:rsid w:val="00185E5E"/>
    <w:rsid w:val="00186695"/>
    <w:rsid w:val="00186C03"/>
    <w:rsid w:val="00187300"/>
    <w:rsid w:val="00190919"/>
    <w:rsid w:val="00190DDF"/>
    <w:rsid w:val="00192719"/>
    <w:rsid w:val="00195D5A"/>
    <w:rsid w:val="001A0ABF"/>
    <w:rsid w:val="001A16E7"/>
    <w:rsid w:val="001A3607"/>
    <w:rsid w:val="001A4688"/>
    <w:rsid w:val="001B064D"/>
    <w:rsid w:val="001B2365"/>
    <w:rsid w:val="001B2538"/>
    <w:rsid w:val="001B297A"/>
    <w:rsid w:val="001B34BF"/>
    <w:rsid w:val="001B47D4"/>
    <w:rsid w:val="001C2541"/>
    <w:rsid w:val="001D135D"/>
    <w:rsid w:val="001D2331"/>
    <w:rsid w:val="001D29EF"/>
    <w:rsid w:val="001D4425"/>
    <w:rsid w:val="001D644F"/>
    <w:rsid w:val="001D6BC6"/>
    <w:rsid w:val="001E052A"/>
    <w:rsid w:val="001E3CE5"/>
    <w:rsid w:val="001E5E71"/>
    <w:rsid w:val="001E6261"/>
    <w:rsid w:val="001E6528"/>
    <w:rsid w:val="001F2962"/>
    <w:rsid w:val="001F45F7"/>
    <w:rsid w:val="001F5000"/>
    <w:rsid w:val="002013FD"/>
    <w:rsid w:val="00202F15"/>
    <w:rsid w:val="00203300"/>
    <w:rsid w:val="00204689"/>
    <w:rsid w:val="00211505"/>
    <w:rsid w:val="002138FB"/>
    <w:rsid w:val="00216E96"/>
    <w:rsid w:val="00223885"/>
    <w:rsid w:val="00224B23"/>
    <w:rsid w:val="00227B43"/>
    <w:rsid w:val="00231A56"/>
    <w:rsid w:val="00231BF8"/>
    <w:rsid w:val="00235B30"/>
    <w:rsid w:val="002361D0"/>
    <w:rsid w:val="00237233"/>
    <w:rsid w:val="00241055"/>
    <w:rsid w:val="00244CA6"/>
    <w:rsid w:val="00247471"/>
    <w:rsid w:val="00250788"/>
    <w:rsid w:val="00250CFD"/>
    <w:rsid w:val="00251B18"/>
    <w:rsid w:val="00251D44"/>
    <w:rsid w:val="00253B01"/>
    <w:rsid w:val="002579C0"/>
    <w:rsid w:val="00257B7A"/>
    <w:rsid w:val="0026077E"/>
    <w:rsid w:val="0026175B"/>
    <w:rsid w:val="00264313"/>
    <w:rsid w:val="00265C3C"/>
    <w:rsid w:val="0026743A"/>
    <w:rsid w:val="00271AC7"/>
    <w:rsid w:val="00271E2A"/>
    <w:rsid w:val="00272B34"/>
    <w:rsid w:val="00273D5D"/>
    <w:rsid w:val="0027440A"/>
    <w:rsid w:val="00280E3A"/>
    <w:rsid w:val="00281341"/>
    <w:rsid w:val="00281410"/>
    <w:rsid w:val="0028279D"/>
    <w:rsid w:val="00284711"/>
    <w:rsid w:val="00286C3B"/>
    <w:rsid w:val="0028700E"/>
    <w:rsid w:val="002968E4"/>
    <w:rsid w:val="00296C7B"/>
    <w:rsid w:val="002A02A5"/>
    <w:rsid w:val="002A1C02"/>
    <w:rsid w:val="002A36DE"/>
    <w:rsid w:val="002A37D2"/>
    <w:rsid w:val="002A4B93"/>
    <w:rsid w:val="002A5277"/>
    <w:rsid w:val="002A7806"/>
    <w:rsid w:val="002B0287"/>
    <w:rsid w:val="002B2FFC"/>
    <w:rsid w:val="002B3FD9"/>
    <w:rsid w:val="002B4075"/>
    <w:rsid w:val="002B4C00"/>
    <w:rsid w:val="002B632F"/>
    <w:rsid w:val="002C138E"/>
    <w:rsid w:val="002C2886"/>
    <w:rsid w:val="002C3BE2"/>
    <w:rsid w:val="002C3DF5"/>
    <w:rsid w:val="002C5623"/>
    <w:rsid w:val="002D1C59"/>
    <w:rsid w:val="002D31CC"/>
    <w:rsid w:val="002D4300"/>
    <w:rsid w:val="002D5121"/>
    <w:rsid w:val="002D5644"/>
    <w:rsid w:val="002E081C"/>
    <w:rsid w:val="002E5A76"/>
    <w:rsid w:val="002E6530"/>
    <w:rsid w:val="002F04A5"/>
    <w:rsid w:val="002F0A65"/>
    <w:rsid w:val="002F1FD7"/>
    <w:rsid w:val="002F4FF6"/>
    <w:rsid w:val="0030109E"/>
    <w:rsid w:val="003025B2"/>
    <w:rsid w:val="00302A0E"/>
    <w:rsid w:val="00303033"/>
    <w:rsid w:val="00303F2F"/>
    <w:rsid w:val="00305CD2"/>
    <w:rsid w:val="0030786F"/>
    <w:rsid w:val="003078AB"/>
    <w:rsid w:val="0031213F"/>
    <w:rsid w:val="003124C0"/>
    <w:rsid w:val="00312AE1"/>
    <w:rsid w:val="00313FBB"/>
    <w:rsid w:val="00314717"/>
    <w:rsid w:val="0031715D"/>
    <w:rsid w:val="00317471"/>
    <w:rsid w:val="00322DA5"/>
    <w:rsid w:val="00325C00"/>
    <w:rsid w:val="00325D6E"/>
    <w:rsid w:val="00326EB7"/>
    <w:rsid w:val="003271E2"/>
    <w:rsid w:val="00327354"/>
    <w:rsid w:val="00335535"/>
    <w:rsid w:val="00335C5A"/>
    <w:rsid w:val="0033665B"/>
    <w:rsid w:val="00341F32"/>
    <w:rsid w:val="003445AB"/>
    <w:rsid w:val="00344D55"/>
    <w:rsid w:val="00364811"/>
    <w:rsid w:val="00364AB0"/>
    <w:rsid w:val="00365132"/>
    <w:rsid w:val="003663EC"/>
    <w:rsid w:val="00367054"/>
    <w:rsid w:val="0036770D"/>
    <w:rsid w:val="00373589"/>
    <w:rsid w:val="00375B07"/>
    <w:rsid w:val="00376E15"/>
    <w:rsid w:val="00381C1F"/>
    <w:rsid w:val="00383136"/>
    <w:rsid w:val="0039488E"/>
    <w:rsid w:val="003973FF"/>
    <w:rsid w:val="003A2099"/>
    <w:rsid w:val="003A22CC"/>
    <w:rsid w:val="003A3552"/>
    <w:rsid w:val="003A3DD9"/>
    <w:rsid w:val="003A3F2B"/>
    <w:rsid w:val="003A4398"/>
    <w:rsid w:val="003A46B9"/>
    <w:rsid w:val="003A6A5A"/>
    <w:rsid w:val="003A76F2"/>
    <w:rsid w:val="003A7BC5"/>
    <w:rsid w:val="003B3BCF"/>
    <w:rsid w:val="003B4463"/>
    <w:rsid w:val="003B5A84"/>
    <w:rsid w:val="003C145F"/>
    <w:rsid w:val="003C2850"/>
    <w:rsid w:val="003D0D85"/>
    <w:rsid w:val="003D1618"/>
    <w:rsid w:val="003D239F"/>
    <w:rsid w:val="003D34C0"/>
    <w:rsid w:val="003D52A3"/>
    <w:rsid w:val="003D5965"/>
    <w:rsid w:val="003D738C"/>
    <w:rsid w:val="003D7B25"/>
    <w:rsid w:val="003E0D92"/>
    <w:rsid w:val="003E61D9"/>
    <w:rsid w:val="003F0DA8"/>
    <w:rsid w:val="003F3B2E"/>
    <w:rsid w:val="003F718A"/>
    <w:rsid w:val="003F79A4"/>
    <w:rsid w:val="003F7BC4"/>
    <w:rsid w:val="00401006"/>
    <w:rsid w:val="00403D1D"/>
    <w:rsid w:val="00404F32"/>
    <w:rsid w:val="00410F27"/>
    <w:rsid w:val="00411DCB"/>
    <w:rsid w:val="0041211C"/>
    <w:rsid w:val="0041771B"/>
    <w:rsid w:val="00421322"/>
    <w:rsid w:val="00421D84"/>
    <w:rsid w:val="0042505C"/>
    <w:rsid w:val="004251E5"/>
    <w:rsid w:val="00425D7B"/>
    <w:rsid w:val="00425F48"/>
    <w:rsid w:val="00425FA9"/>
    <w:rsid w:val="00426A83"/>
    <w:rsid w:val="00427AA2"/>
    <w:rsid w:val="0043091A"/>
    <w:rsid w:val="00430A91"/>
    <w:rsid w:val="00431BF1"/>
    <w:rsid w:val="00432BC0"/>
    <w:rsid w:val="0043429F"/>
    <w:rsid w:val="0043686B"/>
    <w:rsid w:val="00436907"/>
    <w:rsid w:val="004372B9"/>
    <w:rsid w:val="00440481"/>
    <w:rsid w:val="00443B8E"/>
    <w:rsid w:val="00444392"/>
    <w:rsid w:val="00446CC4"/>
    <w:rsid w:val="004512F9"/>
    <w:rsid w:val="004517A9"/>
    <w:rsid w:val="00452BDD"/>
    <w:rsid w:val="00453720"/>
    <w:rsid w:val="00453FCD"/>
    <w:rsid w:val="00455252"/>
    <w:rsid w:val="00455A87"/>
    <w:rsid w:val="00456DA3"/>
    <w:rsid w:val="00457D72"/>
    <w:rsid w:val="00460004"/>
    <w:rsid w:val="004627A2"/>
    <w:rsid w:val="004679B5"/>
    <w:rsid w:val="00470190"/>
    <w:rsid w:val="00470AF0"/>
    <w:rsid w:val="004728C6"/>
    <w:rsid w:val="0047406C"/>
    <w:rsid w:val="00476D7A"/>
    <w:rsid w:val="004772F0"/>
    <w:rsid w:val="0048105F"/>
    <w:rsid w:val="004813CD"/>
    <w:rsid w:val="00481935"/>
    <w:rsid w:val="00483C0E"/>
    <w:rsid w:val="004850A9"/>
    <w:rsid w:val="0049010F"/>
    <w:rsid w:val="00491DE9"/>
    <w:rsid w:val="00494F60"/>
    <w:rsid w:val="004A171F"/>
    <w:rsid w:val="004A19C5"/>
    <w:rsid w:val="004A247B"/>
    <w:rsid w:val="004A29D4"/>
    <w:rsid w:val="004A37E9"/>
    <w:rsid w:val="004A5F6A"/>
    <w:rsid w:val="004A6208"/>
    <w:rsid w:val="004A6247"/>
    <w:rsid w:val="004A6CB5"/>
    <w:rsid w:val="004B69F2"/>
    <w:rsid w:val="004B6C81"/>
    <w:rsid w:val="004B6EB9"/>
    <w:rsid w:val="004B72F6"/>
    <w:rsid w:val="004C2CB9"/>
    <w:rsid w:val="004D217D"/>
    <w:rsid w:val="004D5A5B"/>
    <w:rsid w:val="004D75FE"/>
    <w:rsid w:val="004D76BB"/>
    <w:rsid w:val="004E1F82"/>
    <w:rsid w:val="004E256E"/>
    <w:rsid w:val="004E302E"/>
    <w:rsid w:val="004E3B87"/>
    <w:rsid w:val="004E409F"/>
    <w:rsid w:val="004E5D62"/>
    <w:rsid w:val="004E677D"/>
    <w:rsid w:val="004E7A43"/>
    <w:rsid w:val="004F159D"/>
    <w:rsid w:val="004F2C4E"/>
    <w:rsid w:val="004F406C"/>
    <w:rsid w:val="004F4769"/>
    <w:rsid w:val="004F4DEB"/>
    <w:rsid w:val="004F5FBE"/>
    <w:rsid w:val="004F604F"/>
    <w:rsid w:val="004F657A"/>
    <w:rsid w:val="005004B1"/>
    <w:rsid w:val="00501003"/>
    <w:rsid w:val="00501614"/>
    <w:rsid w:val="005042F7"/>
    <w:rsid w:val="00510486"/>
    <w:rsid w:val="005120BF"/>
    <w:rsid w:val="0051254E"/>
    <w:rsid w:val="00514B69"/>
    <w:rsid w:val="00520E6F"/>
    <w:rsid w:val="005242B5"/>
    <w:rsid w:val="005249ED"/>
    <w:rsid w:val="00530FBF"/>
    <w:rsid w:val="00531399"/>
    <w:rsid w:val="005326B0"/>
    <w:rsid w:val="00532718"/>
    <w:rsid w:val="005328A7"/>
    <w:rsid w:val="005333C6"/>
    <w:rsid w:val="00533A03"/>
    <w:rsid w:val="005409B5"/>
    <w:rsid w:val="00541226"/>
    <w:rsid w:val="00541EED"/>
    <w:rsid w:val="00543E4A"/>
    <w:rsid w:val="005469CA"/>
    <w:rsid w:val="00551738"/>
    <w:rsid w:val="005542CE"/>
    <w:rsid w:val="005567E2"/>
    <w:rsid w:val="00556B84"/>
    <w:rsid w:val="00557AA5"/>
    <w:rsid w:val="00557E58"/>
    <w:rsid w:val="00560029"/>
    <w:rsid w:val="0056169F"/>
    <w:rsid w:val="00563E26"/>
    <w:rsid w:val="005703B9"/>
    <w:rsid w:val="00570C97"/>
    <w:rsid w:val="00571853"/>
    <w:rsid w:val="00571C0D"/>
    <w:rsid w:val="00572313"/>
    <w:rsid w:val="00575A9B"/>
    <w:rsid w:val="0057680C"/>
    <w:rsid w:val="00576DA4"/>
    <w:rsid w:val="00583C6F"/>
    <w:rsid w:val="005848A0"/>
    <w:rsid w:val="0058590E"/>
    <w:rsid w:val="00586083"/>
    <w:rsid w:val="0058698B"/>
    <w:rsid w:val="005879E2"/>
    <w:rsid w:val="0059111E"/>
    <w:rsid w:val="0059294F"/>
    <w:rsid w:val="00593AAB"/>
    <w:rsid w:val="00593F04"/>
    <w:rsid w:val="005953E8"/>
    <w:rsid w:val="00597E4D"/>
    <w:rsid w:val="005A21FA"/>
    <w:rsid w:val="005A4D4B"/>
    <w:rsid w:val="005A5364"/>
    <w:rsid w:val="005A5693"/>
    <w:rsid w:val="005A5EB9"/>
    <w:rsid w:val="005B137A"/>
    <w:rsid w:val="005B4387"/>
    <w:rsid w:val="005B6989"/>
    <w:rsid w:val="005B7086"/>
    <w:rsid w:val="005C34FF"/>
    <w:rsid w:val="005C39C9"/>
    <w:rsid w:val="005C4528"/>
    <w:rsid w:val="005C4596"/>
    <w:rsid w:val="005C4C64"/>
    <w:rsid w:val="005C65A4"/>
    <w:rsid w:val="005C7782"/>
    <w:rsid w:val="005D03B9"/>
    <w:rsid w:val="005D0602"/>
    <w:rsid w:val="005D0867"/>
    <w:rsid w:val="005D0D78"/>
    <w:rsid w:val="005D1EF9"/>
    <w:rsid w:val="005D4C10"/>
    <w:rsid w:val="005D6D62"/>
    <w:rsid w:val="005D7EE2"/>
    <w:rsid w:val="005D7EFC"/>
    <w:rsid w:val="005E1C02"/>
    <w:rsid w:val="005E1CF0"/>
    <w:rsid w:val="005E3584"/>
    <w:rsid w:val="005E35E6"/>
    <w:rsid w:val="005E3615"/>
    <w:rsid w:val="005E3911"/>
    <w:rsid w:val="005E581D"/>
    <w:rsid w:val="005E5BA1"/>
    <w:rsid w:val="005E6060"/>
    <w:rsid w:val="005E6909"/>
    <w:rsid w:val="005E7637"/>
    <w:rsid w:val="005F2279"/>
    <w:rsid w:val="005F5BF3"/>
    <w:rsid w:val="005F645A"/>
    <w:rsid w:val="00601A03"/>
    <w:rsid w:val="00602D4C"/>
    <w:rsid w:val="00606E40"/>
    <w:rsid w:val="006121F4"/>
    <w:rsid w:val="00612393"/>
    <w:rsid w:val="00612DF4"/>
    <w:rsid w:val="006153DD"/>
    <w:rsid w:val="00615E21"/>
    <w:rsid w:val="0061645D"/>
    <w:rsid w:val="00616ADC"/>
    <w:rsid w:val="0062011D"/>
    <w:rsid w:val="00620BA7"/>
    <w:rsid w:val="006232AF"/>
    <w:rsid w:val="00623C05"/>
    <w:rsid w:val="00624F25"/>
    <w:rsid w:val="006251AF"/>
    <w:rsid w:val="00630462"/>
    <w:rsid w:val="00632CBD"/>
    <w:rsid w:val="00634A95"/>
    <w:rsid w:val="006357B6"/>
    <w:rsid w:val="00640E6F"/>
    <w:rsid w:val="00640EC2"/>
    <w:rsid w:val="006452C8"/>
    <w:rsid w:val="00645B6F"/>
    <w:rsid w:val="0065092D"/>
    <w:rsid w:val="0065154D"/>
    <w:rsid w:val="006515E4"/>
    <w:rsid w:val="00651B88"/>
    <w:rsid w:val="00652644"/>
    <w:rsid w:val="00652FB2"/>
    <w:rsid w:val="00654420"/>
    <w:rsid w:val="00656183"/>
    <w:rsid w:val="006563A5"/>
    <w:rsid w:val="00664122"/>
    <w:rsid w:val="00666CE6"/>
    <w:rsid w:val="006727BA"/>
    <w:rsid w:val="00673901"/>
    <w:rsid w:val="00674845"/>
    <w:rsid w:val="00681FDB"/>
    <w:rsid w:val="0068315C"/>
    <w:rsid w:val="006840A7"/>
    <w:rsid w:val="00686C0B"/>
    <w:rsid w:val="006909CA"/>
    <w:rsid w:val="006926CB"/>
    <w:rsid w:val="006932A8"/>
    <w:rsid w:val="006935C6"/>
    <w:rsid w:val="00697ED7"/>
    <w:rsid w:val="006A020E"/>
    <w:rsid w:val="006A23BC"/>
    <w:rsid w:val="006A3BA7"/>
    <w:rsid w:val="006A3C94"/>
    <w:rsid w:val="006A6FAF"/>
    <w:rsid w:val="006A7C10"/>
    <w:rsid w:val="006B1125"/>
    <w:rsid w:val="006B39AF"/>
    <w:rsid w:val="006B6B98"/>
    <w:rsid w:val="006B71C3"/>
    <w:rsid w:val="006B7716"/>
    <w:rsid w:val="006B77C7"/>
    <w:rsid w:val="006C2329"/>
    <w:rsid w:val="006C6413"/>
    <w:rsid w:val="006C6542"/>
    <w:rsid w:val="006D015E"/>
    <w:rsid w:val="006D3CB9"/>
    <w:rsid w:val="006D4BCB"/>
    <w:rsid w:val="006D5E15"/>
    <w:rsid w:val="006E30E2"/>
    <w:rsid w:val="006E3132"/>
    <w:rsid w:val="006E3371"/>
    <w:rsid w:val="006E35E5"/>
    <w:rsid w:val="006F0516"/>
    <w:rsid w:val="006F0DB2"/>
    <w:rsid w:val="006F0EA3"/>
    <w:rsid w:val="006F2B41"/>
    <w:rsid w:val="006F36C9"/>
    <w:rsid w:val="006F474E"/>
    <w:rsid w:val="00700384"/>
    <w:rsid w:val="00700BB0"/>
    <w:rsid w:val="00703BEA"/>
    <w:rsid w:val="0071032A"/>
    <w:rsid w:val="0071511F"/>
    <w:rsid w:val="00720238"/>
    <w:rsid w:val="00722CD7"/>
    <w:rsid w:val="007241B0"/>
    <w:rsid w:val="007247B5"/>
    <w:rsid w:val="00725287"/>
    <w:rsid w:val="00725CCF"/>
    <w:rsid w:val="00727E2B"/>
    <w:rsid w:val="00730F1C"/>
    <w:rsid w:val="00731A77"/>
    <w:rsid w:val="00734E83"/>
    <w:rsid w:val="00735D20"/>
    <w:rsid w:val="00744259"/>
    <w:rsid w:val="00746F7E"/>
    <w:rsid w:val="00747429"/>
    <w:rsid w:val="007577C9"/>
    <w:rsid w:val="00760667"/>
    <w:rsid w:val="007629F2"/>
    <w:rsid w:val="00762D5F"/>
    <w:rsid w:val="00764065"/>
    <w:rsid w:val="007659AB"/>
    <w:rsid w:val="00767405"/>
    <w:rsid w:val="00770BAE"/>
    <w:rsid w:val="0077250C"/>
    <w:rsid w:val="00773061"/>
    <w:rsid w:val="00775E1B"/>
    <w:rsid w:val="00776E0A"/>
    <w:rsid w:val="00777AEE"/>
    <w:rsid w:val="00785A48"/>
    <w:rsid w:val="00786ED1"/>
    <w:rsid w:val="00787C35"/>
    <w:rsid w:val="007909D8"/>
    <w:rsid w:val="00791101"/>
    <w:rsid w:val="00792B7E"/>
    <w:rsid w:val="00795EEA"/>
    <w:rsid w:val="007A0E28"/>
    <w:rsid w:val="007A3C57"/>
    <w:rsid w:val="007A4086"/>
    <w:rsid w:val="007A468D"/>
    <w:rsid w:val="007A7436"/>
    <w:rsid w:val="007B3113"/>
    <w:rsid w:val="007B3F79"/>
    <w:rsid w:val="007B408E"/>
    <w:rsid w:val="007B5198"/>
    <w:rsid w:val="007B55E9"/>
    <w:rsid w:val="007C071B"/>
    <w:rsid w:val="007C1A82"/>
    <w:rsid w:val="007C1D87"/>
    <w:rsid w:val="007C4432"/>
    <w:rsid w:val="007C7BEF"/>
    <w:rsid w:val="007D07A8"/>
    <w:rsid w:val="007D0E78"/>
    <w:rsid w:val="007D120A"/>
    <w:rsid w:val="007D193B"/>
    <w:rsid w:val="007D654C"/>
    <w:rsid w:val="007D6EF9"/>
    <w:rsid w:val="007E0715"/>
    <w:rsid w:val="007E1DEE"/>
    <w:rsid w:val="007E290B"/>
    <w:rsid w:val="007E68CB"/>
    <w:rsid w:val="007E702B"/>
    <w:rsid w:val="007E7476"/>
    <w:rsid w:val="007E75A4"/>
    <w:rsid w:val="007F2C7A"/>
    <w:rsid w:val="007F2E32"/>
    <w:rsid w:val="007F5429"/>
    <w:rsid w:val="00801D38"/>
    <w:rsid w:val="00802CB4"/>
    <w:rsid w:val="00804BC6"/>
    <w:rsid w:val="00806C83"/>
    <w:rsid w:val="008074A4"/>
    <w:rsid w:val="0081002F"/>
    <w:rsid w:val="00811FB2"/>
    <w:rsid w:val="008157EE"/>
    <w:rsid w:val="00815850"/>
    <w:rsid w:val="00817E7C"/>
    <w:rsid w:val="00820988"/>
    <w:rsid w:val="008210E3"/>
    <w:rsid w:val="00821229"/>
    <w:rsid w:val="008221C0"/>
    <w:rsid w:val="00822C52"/>
    <w:rsid w:val="00822D3B"/>
    <w:rsid w:val="00823657"/>
    <w:rsid w:val="00824098"/>
    <w:rsid w:val="00824453"/>
    <w:rsid w:val="00824739"/>
    <w:rsid w:val="008314D3"/>
    <w:rsid w:val="008328C6"/>
    <w:rsid w:val="0083419B"/>
    <w:rsid w:val="00835702"/>
    <w:rsid w:val="00836F4D"/>
    <w:rsid w:val="008428B3"/>
    <w:rsid w:val="00843AA9"/>
    <w:rsid w:val="00843F3D"/>
    <w:rsid w:val="00845DCF"/>
    <w:rsid w:val="00846991"/>
    <w:rsid w:val="00854C27"/>
    <w:rsid w:val="00855807"/>
    <w:rsid w:val="0086319F"/>
    <w:rsid w:val="00863CAF"/>
    <w:rsid w:val="00863E1A"/>
    <w:rsid w:val="008646B9"/>
    <w:rsid w:val="008666E2"/>
    <w:rsid w:val="008712AD"/>
    <w:rsid w:val="0087229D"/>
    <w:rsid w:val="00873CA2"/>
    <w:rsid w:val="00873E76"/>
    <w:rsid w:val="0087410D"/>
    <w:rsid w:val="00874206"/>
    <w:rsid w:val="008748DD"/>
    <w:rsid w:val="00875023"/>
    <w:rsid w:val="00881A05"/>
    <w:rsid w:val="00882F4F"/>
    <w:rsid w:val="00883923"/>
    <w:rsid w:val="00891432"/>
    <w:rsid w:val="00892B56"/>
    <w:rsid w:val="00894289"/>
    <w:rsid w:val="00895E72"/>
    <w:rsid w:val="0089623D"/>
    <w:rsid w:val="0089641D"/>
    <w:rsid w:val="008A21A0"/>
    <w:rsid w:val="008A2E59"/>
    <w:rsid w:val="008A5097"/>
    <w:rsid w:val="008A5D06"/>
    <w:rsid w:val="008A7415"/>
    <w:rsid w:val="008B2DBC"/>
    <w:rsid w:val="008B5D6E"/>
    <w:rsid w:val="008B7619"/>
    <w:rsid w:val="008C0296"/>
    <w:rsid w:val="008C287E"/>
    <w:rsid w:val="008C37BC"/>
    <w:rsid w:val="008C490B"/>
    <w:rsid w:val="008C4F94"/>
    <w:rsid w:val="008C5948"/>
    <w:rsid w:val="008C59A3"/>
    <w:rsid w:val="008D13B2"/>
    <w:rsid w:val="008D593C"/>
    <w:rsid w:val="008D60A0"/>
    <w:rsid w:val="008D68E8"/>
    <w:rsid w:val="008E170C"/>
    <w:rsid w:val="008E23FB"/>
    <w:rsid w:val="008E410F"/>
    <w:rsid w:val="008E679F"/>
    <w:rsid w:val="008E7481"/>
    <w:rsid w:val="008E7A21"/>
    <w:rsid w:val="008F2902"/>
    <w:rsid w:val="008F43AC"/>
    <w:rsid w:val="008F59B2"/>
    <w:rsid w:val="008F6E8F"/>
    <w:rsid w:val="008F79D1"/>
    <w:rsid w:val="00900A29"/>
    <w:rsid w:val="00900F7C"/>
    <w:rsid w:val="00901EE7"/>
    <w:rsid w:val="009044F1"/>
    <w:rsid w:val="0091116C"/>
    <w:rsid w:val="009129AF"/>
    <w:rsid w:val="009166D5"/>
    <w:rsid w:val="009219B4"/>
    <w:rsid w:val="00924C63"/>
    <w:rsid w:val="009271D0"/>
    <w:rsid w:val="00934254"/>
    <w:rsid w:val="00936540"/>
    <w:rsid w:val="009403C8"/>
    <w:rsid w:val="00946FCB"/>
    <w:rsid w:val="00953A5B"/>
    <w:rsid w:val="00953C1F"/>
    <w:rsid w:val="00956A2F"/>
    <w:rsid w:val="009607F6"/>
    <w:rsid w:val="00961D47"/>
    <w:rsid w:val="0096437F"/>
    <w:rsid w:val="00972C9F"/>
    <w:rsid w:val="00973499"/>
    <w:rsid w:val="0097385B"/>
    <w:rsid w:val="00974246"/>
    <w:rsid w:val="009811AF"/>
    <w:rsid w:val="00981B11"/>
    <w:rsid w:val="00982185"/>
    <w:rsid w:val="00984324"/>
    <w:rsid w:val="00991DCD"/>
    <w:rsid w:val="009931DE"/>
    <w:rsid w:val="00994285"/>
    <w:rsid w:val="00994922"/>
    <w:rsid w:val="00994D4D"/>
    <w:rsid w:val="009A0082"/>
    <w:rsid w:val="009A3F9F"/>
    <w:rsid w:val="009A446F"/>
    <w:rsid w:val="009A56AC"/>
    <w:rsid w:val="009A6690"/>
    <w:rsid w:val="009B13CA"/>
    <w:rsid w:val="009B2825"/>
    <w:rsid w:val="009C076B"/>
    <w:rsid w:val="009C2905"/>
    <w:rsid w:val="009C2FA4"/>
    <w:rsid w:val="009C3CCB"/>
    <w:rsid w:val="009C3F48"/>
    <w:rsid w:val="009C5D1E"/>
    <w:rsid w:val="009C60BC"/>
    <w:rsid w:val="009C6826"/>
    <w:rsid w:val="009C7CB4"/>
    <w:rsid w:val="009D1DC5"/>
    <w:rsid w:val="009D25E8"/>
    <w:rsid w:val="009D2756"/>
    <w:rsid w:val="009D3309"/>
    <w:rsid w:val="009E1B0A"/>
    <w:rsid w:val="009E1FE7"/>
    <w:rsid w:val="009E205D"/>
    <w:rsid w:val="009E4614"/>
    <w:rsid w:val="009E4712"/>
    <w:rsid w:val="009E72CF"/>
    <w:rsid w:val="009F51FD"/>
    <w:rsid w:val="00A014E8"/>
    <w:rsid w:val="00A01CC6"/>
    <w:rsid w:val="00A0252E"/>
    <w:rsid w:val="00A06850"/>
    <w:rsid w:val="00A0722F"/>
    <w:rsid w:val="00A072B1"/>
    <w:rsid w:val="00A1200A"/>
    <w:rsid w:val="00A128F3"/>
    <w:rsid w:val="00A12D61"/>
    <w:rsid w:val="00A14117"/>
    <w:rsid w:val="00A157A7"/>
    <w:rsid w:val="00A16476"/>
    <w:rsid w:val="00A17B66"/>
    <w:rsid w:val="00A22211"/>
    <w:rsid w:val="00A225F3"/>
    <w:rsid w:val="00A30226"/>
    <w:rsid w:val="00A32059"/>
    <w:rsid w:val="00A32B50"/>
    <w:rsid w:val="00A33499"/>
    <w:rsid w:val="00A34777"/>
    <w:rsid w:val="00A43F2B"/>
    <w:rsid w:val="00A44AE4"/>
    <w:rsid w:val="00A45379"/>
    <w:rsid w:val="00A47EEA"/>
    <w:rsid w:val="00A52415"/>
    <w:rsid w:val="00A564B7"/>
    <w:rsid w:val="00A57F6D"/>
    <w:rsid w:val="00A613FC"/>
    <w:rsid w:val="00A614E6"/>
    <w:rsid w:val="00A6299C"/>
    <w:rsid w:val="00A6365B"/>
    <w:rsid w:val="00A66809"/>
    <w:rsid w:val="00A671E6"/>
    <w:rsid w:val="00A709FB"/>
    <w:rsid w:val="00A71429"/>
    <w:rsid w:val="00A72393"/>
    <w:rsid w:val="00A75F14"/>
    <w:rsid w:val="00A761C0"/>
    <w:rsid w:val="00A81A85"/>
    <w:rsid w:val="00A82B86"/>
    <w:rsid w:val="00A82CC2"/>
    <w:rsid w:val="00A863C8"/>
    <w:rsid w:val="00A9024B"/>
    <w:rsid w:val="00A90BC8"/>
    <w:rsid w:val="00A9431E"/>
    <w:rsid w:val="00A970EF"/>
    <w:rsid w:val="00AA1B11"/>
    <w:rsid w:val="00AA35C2"/>
    <w:rsid w:val="00AA450D"/>
    <w:rsid w:val="00AA48B1"/>
    <w:rsid w:val="00AA4C49"/>
    <w:rsid w:val="00AA5D5C"/>
    <w:rsid w:val="00AA67DA"/>
    <w:rsid w:val="00AA72C4"/>
    <w:rsid w:val="00AA7E13"/>
    <w:rsid w:val="00AB33E4"/>
    <w:rsid w:val="00AB6652"/>
    <w:rsid w:val="00AB6A17"/>
    <w:rsid w:val="00AC07DF"/>
    <w:rsid w:val="00AC187B"/>
    <w:rsid w:val="00AC1949"/>
    <w:rsid w:val="00AC1E2A"/>
    <w:rsid w:val="00AC3467"/>
    <w:rsid w:val="00AC36C3"/>
    <w:rsid w:val="00AC3E3A"/>
    <w:rsid w:val="00AC492D"/>
    <w:rsid w:val="00AC4CEE"/>
    <w:rsid w:val="00AC4EDB"/>
    <w:rsid w:val="00AC70D1"/>
    <w:rsid w:val="00AD2072"/>
    <w:rsid w:val="00AD30A4"/>
    <w:rsid w:val="00AD54CD"/>
    <w:rsid w:val="00AD74E6"/>
    <w:rsid w:val="00AE0131"/>
    <w:rsid w:val="00AE2FB7"/>
    <w:rsid w:val="00AE3BD6"/>
    <w:rsid w:val="00AE611A"/>
    <w:rsid w:val="00AE7054"/>
    <w:rsid w:val="00AF0FF0"/>
    <w:rsid w:val="00AF129E"/>
    <w:rsid w:val="00AF50C4"/>
    <w:rsid w:val="00AF63BC"/>
    <w:rsid w:val="00B00613"/>
    <w:rsid w:val="00B045A1"/>
    <w:rsid w:val="00B07244"/>
    <w:rsid w:val="00B126E2"/>
    <w:rsid w:val="00B132FA"/>
    <w:rsid w:val="00B14822"/>
    <w:rsid w:val="00B14963"/>
    <w:rsid w:val="00B17C2B"/>
    <w:rsid w:val="00B20B23"/>
    <w:rsid w:val="00B22D9D"/>
    <w:rsid w:val="00B2467A"/>
    <w:rsid w:val="00B2472C"/>
    <w:rsid w:val="00B26113"/>
    <w:rsid w:val="00B2669A"/>
    <w:rsid w:val="00B2685B"/>
    <w:rsid w:val="00B31653"/>
    <w:rsid w:val="00B31CA1"/>
    <w:rsid w:val="00B326AA"/>
    <w:rsid w:val="00B33B1A"/>
    <w:rsid w:val="00B33D08"/>
    <w:rsid w:val="00B34BCD"/>
    <w:rsid w:val="00B40BFC"/>
    <w:rsid w:val="00B40C46"/>
    <w:rsid w:val="00B40E14"/>
    <w:rsid w:val="00B41A28"/>
    <w:rsid w:val="00B4596B"/>
    <w:rsid w:val="00B45FE1"/>
    <w:rsid w:val="00B474F1"/>
    <w:rsid w:val="00B47853"/>
    <w:rsid w:val="00B51ADD"/>
    <w:rsid w:val="00B520B0"/>
    <w:rsid w:val="00B54858"/>
    <w:rsid w:val="00B55E3F"/>
    <w:rsid w:val="00B56835"/>
    <w:rsid w:val="00B6093C"/>
    <w:rsid w:val="00B61BA3"/>
    <w:rsid w:val="00B62D90"/>
    <w:rsid w:val="00B64741"/>
    <w:rsid w:val="00B65967"/>
    <w:rsid w:val="00B70123"/>
    <w:rsid w:val="00B716F5"/>
    <w:rsid w:val="00B74270"/>
    <w:rsid w:val="00B75001"/>
    <w:rsid w:val="00B7594F"/>
    <w:rsid w:val="00B830E3"/>
    <w:rsid w:val="00B845C6"/>
    <w:rsid w:val="00B861D6"/>
    <w:rsid w:val="00B94650"/>
    <w:rsid w:val="00BA10AC"/>
    <w:rsid w:val="00BA2225"/>
    <w:rsid w:val="00BA25F3"/>
    <w:rsid w:val="00BA47E1"/>
    <w:rsid w:val="00BA5B84"/>
    <w:rsid w:val="00BA7B7C"/>
    <w:rsid w:val="00BB0E44"/>
    <w:rsid w:val="00BB4BCB"/>
    <w:rsid w:val="00BB56DE"/>
    <w:rsid w:val="00BB69A5"/>
    <w:rsid w:val="00BC0031"/>
    <w:rsid w:val="00BC13ED"/>
    <w:rsid w:val="00BC1487"/>
    <w:rsid w:val="00BC3145"/>
    <w:rsid w:val="00BC43CF"/>
    <w:rsid w:val="00BC531F"/>
    <w:rsid w:val="00BC5E63"/>
    <w:rsid w:val="00BC6147"/>
    <w:rsid w:val="00BC6598"/>
    <w:rsid w:val="00BC6D95"/>
    <w:rsid w:val="00BC7078"/>
    <w:rsid w:val="00BC79AD"/>
    <w:rsid w:val="00BC7B86"/>
    <w:rsid w:val="00BD0D30"/>
    <w:rsid w:val="00BD0F42"/>
    <w:rsid w:val="00BD4390"/>
    <w:rsid w:val="00BD46D1"/>
    <w:rsid w:val="00BD4AAD"/>
    <w:rsid w:val="00BD51A7"/>
    <w:rsid w:val="00BD5BDC"/>
    <w:rsid w:val="00BE0D24"/>
    <w:rsid w:val="00BE1E6B"/>
    <w:rsid w:val="00BE29F5"/>
    <w:rsid w:val="00BE4A10"/>
    <w:rsid w:val="00BE4A2A"/>
    <w:rsid w:val="00BE4FAC"/>
    <w:rsid w:val="00BE5A9B"/>
    <w:rsid w:val="00BE728D"/>
    <w:rsid w:val="00BE789D"/>
    <w:rsid w:val="00BF04FC"/>
    <w:rsid w:val="00BF3FB4"/>
    <w:rsid w:val="00BF5894"/>
    <w:rsid w:val="00BF610A"/>
    <w:rsid w:val="00C00DBD"/>
    <w:rsid w:val="00C00FFA"/>
    <w:rsid w:val="00C0223A"/>
    <w:rsid w:val="00C02A71"/>
    <w:rsid w:val="00C03E0E"/>
    <w:rsid w:val="00C164C7"/>
    <w:rsid w:val="00C22BE9"/>
    <w:rsid w:val="00C22CFD"/>
    <w:rsid w:val="00C23D8C"/>
    <w:rsid w:val="00C30729"/>
    <w:rsid w:val="00C32428"/>
    <w:rsid w:val="00C33094"/>
    <w:rsid w:val="00C35119"/>
    <w:rsid w:val="00C353BE"/>
    <w:rsid w:val="00C35ADE"/>
    <w:rsid w:val="00C418C5"/>
    <w:rsid w:val="00C41ABD"/>
    <w:rsid w:val="00C425A8"/>
    <w:rsid w:val="00C4265E"/>
    <w:rsid w:val="00C45509"/>
    <w:rsid w:val="00C566D2"/>
    <w:rsid w:val="00C6023A"/>
    <w:rsid w:val="00C63312"/>
    <w:rsid w:val="00C656DB"/>
    <w:rsid w:val="00C66707"/>
    <w:rsid w:val="00C67314"/>
    <w:rsid w:val="00C6767A"/>
    <w:rsid w:val="00C67E06"/>
    <w:rsid w:val="00C70155"/>
    <w:rsid w:val="00C70ED9"/>
    <w:rsid w:val="00C70FE6"/>
    <w:rsid w:val="00C7188E"/>
    <w:rsid w:val="00C71BF7"/>
    <w:rsid w:val="00C736DE"/>
    <w:rsid w:val="00C738B9"/>
    <w:rsid w:val="00C744A4"/>
    <w:rsid w:val="00C75862"/>
    <w:rsid w:val="00C7638C"/>
    <w:rsid w:val="00C76756"/>
    <w:rsid w:val="00C80629"/>
    <w:rsid w:val="00C81DEB"/>
    <w:rsid w:val="00C84752"/>
    <w:rsid w:val="00C9025A"/>
    <w:rsid w:val="00C92E73"/>
    <w:rsid w:val="00C931FC"/>
    <w:rsid w:val="00C94552"/>
    <w:rsid w:val="00CA1B9D"/>
    <w:rsid w:val="00CA27E7"/>
    <w:rsid w:val="00CA351A"/>
    <w:rsid w:val="00CA4FF6"/>
    <w:rsid w:val="00CA72D4"/>
    <w:rsid w:val="00CA7344"/>
    <w:rsid w:val="00CB3600"/>
    <w:rsid w:val="00CB3F3E"/>
    <w:rsid w:val="00CB7B91"/>
    <w:rsid w:val="00CC038D"/>
    <w:rsid w:val="00CC0A17"/>
    <w:rsid w:val="00CC35D7"/>
    <w:rsid w:val="00CC4269"/>
    <w:rsid w:val="00CC5772"/>
    <w:rsid w:val="00CC73C5"/>
    <w:rsid w:val="00CD00D7"/>
    <w:rsid w:val="00CD284C"/>
    <w:rsid w:val="00CD380E"/>
    <w:rsid w:val="00CD7FCD"/>
    <w:rsid w:val="00CE038D"/>
    <w:rsid w:val="00CE199E"/>
    <w:rsid w:val="00CE7C72"/>
    <w:rsid w:val="00CE7D7E"/>
    <w:rsid w:val="00CF0071"/>
    <w:rsid w:val="00CF02D5"/>
    <w:rsid w:val="00CF2DE5"/>
    <w:rsid w:val="00D00D7D"/>
    <w:rsid w:val="00D01A05"/>
    <w:rsid w:val="00D022B4"/>
    <w:rsid w:val="00D02FF6"/>
    <w:rsid w:val="00D05967"/>
    <w:rsid w:val="00D05B04"/>
    <w:rsid w:val="00D06E50"/>
    <w:rsid w:val="00D147D6"/>
    <w:rsid w:val="00D15031"/>
    <w:rsid w:val="00D162F9"/>
    <w:rsid w:val="00D2197F"/>
    <w:rsid w:val="00D2316F"/>
    <w:rsid w:val="00D242D4"/>
    <w:rsid w:val="00D25CCB"/>
    <w:rsid w:val="00D260E8"/>
    <w:rsid w:val="00D274C4"/>
    <w:rsid w:val="00D325CD"/>
    <w:rsid w:val="00D334B1"/>
    <w:rsid w:val="00D33664"/>
    <w:rsid w:val="00D347F7"/>
    <w:rsid w:val="00D34A02"/>
    <w:rsid w:val="00D34C5B"/>
    <w:rsid w:val="00D3620F"/>
    <w:rsid w:val="00D36718"/>
    <w:rsid w:val="00D36C36"/>
    <w:rsid w:val="00D37855"/>
    <w:rsid w:val="00D37B83"/>
    <w:rsid w:val="00D40134"/>
    <w:rsid w:val="00D454D5"/>
    <w:rsid w:val="00D4561E"/>
    <w:rsid w:val="00D4573A"/>
    <w:rsid w:val="00D46ACA"/>
    <w:rsid w:val="00D46B09"/>
    <w:rsid w:val="00D47027"/>
    <w:rsid w:val="00D535BD"/>
    <w:rsid w:val="00D54809"/>
    <w:rsid w:val="00D5602F"/>
    <w:rsid w:val="00D56561"/>
    <w:rsid w:val="00D574FE"/>
    <w:rsid w:val="00D6189A"/>
    <w:rsid w:val="00D63CC2"/>
    <w:rsid w:val="00D646A1"/>
    <w:rsid w:val="00D64E28"/>
    <w:rsid w:val="00D659B1"/>
    <w:rsid w:val="00D66125"/>
    <w:rsid w:val="00D703B4"/>
    <w:rsid w:val="00D72029"/>
    <w:rsid w:val="00D73E54"/>
    <w:rsid w:val="00D75643"/>
    <w:rsid w:val="00D76FB0"/>
    <w:rsid w:val="00D85880"/>
    <w:rsid w:val="00D85A8F"/>
    <w:rsid w:val="00D9199B"/>
    <w:rsid w:val="00D9259E"/>
    <w:rsid w:val="00DA05A7"/>
    <w:rsid w:val="00DA3447"/>
    <w:rsid w:val="00DA52DC"/>
    <w:rsid w:val="00DA7514"/>
    <w:rsid w:val="00DB0936"/>
    <w:rsid w:val="00DB301D"/>
    <w:rsid w:val="00DB4D25"/>
    <w:rsid w:val="00DB4D73"/>
    <w:rsid w:val="00DB59E0"/>
    <w:rsid w:val="00DB6796"/>
    <w:rsid w:val="00DB71C4"/>
    <w:rsid w:val="00DB7620"/>
    <w:rsid w:val="00DB7F06"/>
    <w:rsid w:val="00DC0304"/>
    <w:rsid w:val="00DC40BA"/>
    <w:rsid w:val="00DC4494"/>
    <w:rsid w:val="00DC4ED0"/>
    <w:rsid w:val="00DC7963"/>
    <w:rsid w:val="00DD0518"/>
    <w:rsid w:val="00DD0FF9"/>
    <w:rsid w:val="00DD43F3"/>
    <w:rsid w:val="00DE2CC2"/>
    <w:rsid w:val="00DE3FE9"/>
    <w:rsid w:val="00DE44E5"/>
    <w:rsid w:val="00DE54FC"/>
    <w:rsid w:val="00DE5F20"/>
    <w:rsid w:val="00DF1965"/>
    <w:rsid w:val="00DF601C"/>
    <w:rsid w:val="00E01B65"/>
    <w:rsid w:val="00E04751"/>
    <w:rsid w:val="00E04B8C"/>
    <w:rsid w:val="00E057BD"/>
    <w:rsid w:val="00E05D92"/>
    <w:rsid w:val="00E05EA6"/>
    <w:rsid w:val="00E100C9"/>
    <w:rsid w:val="00E13D3A"/>
    <w:rsid w:val="00E14F3B"/>
    <w:rsid w:val="00E15FF9"/>
    <w:rsid w:val="00E24D2D"/>
    <w:rsid w:val="00E25606"/>
    <w:rsid w:val="00E26235"/>
    <w:rsid w:val="00E26ECB"/>
    <w:rsid w:val="00E3254C"/>
    <w:rsid w:val="00E3350C"/>
    <w:rsid w:val="00E33812"/>
    <w:rsid w:val="00E3589E"/>
    <w:rsid w:val="00E36C9C"/>
    <w:rsid w:val="00E41042"/>
    <w:rsid w:val="00E437E6"/>
    <w:rsid w:val="00E438D4"/>
    <w:rsid w:val="00E45C37"/>
    <w:rsid w:val="00E47993"/>
    <w:rsid w:val="00E50511"/>
    <w:rsid w:val="00E52022"/>
    <w:rsid w:val="00E530E7"/>
    <w:rsid w:val="00E54343"/>
    <w:rsid w:val="00E56F1C"/>
    <w:rsid w:val="00E56FB6"/>
    <w:rsid w:val="00E64EE1"/>
    <w:rsid w:val="00E65A6B"/>
    <w:rsid w:val="00E67710"/>
    <w:rsid w:val="00E73E05"/>
    <w:rsid w:val="00E76549"/>
    <w:rsid w:val="00E77937"/>
    <w:rsid w:val="00E77E0B"/>
    <w:rsid w:val="00E8317A"/>
    <w:rsid w:val="00E848C3"/>
    <w:rsid w:val="00E86042"/>
    <w:rsid w:val="00E945CF"/>
    <w:rsid w:val="00E97642"/>
    <w:rsid w:val="00EA034A"/>
    <w:rsid w:val="00EA1C8F"/>
    <w:rsid w:val="00EA2134"/>
    <w:rsid w:val="00EA377E"/>
    <w:rsid w:val="00EA3D2A"/>
    <w:rsid w:val="00EA537D"/>
    <w:rsid w:val="00EA6417"/>
    <w:rsid w:val="00EA72AB"/>
    <w:rsid w:val="00EB19B9"/>
    <w:rsid w:val="00EB1ADA"/>
    <w:rsid w:val="00EB2A5F"/>
    <w:rsid w:val="00EB3BE7"/>
    <w:rsid w:val="00EB442F"/>
    <w:rsid w:val="00EB4733"/>
    <w:rsid w:val="00EC074C"/>
    <w:rsid w:val="00EC088D"/>
    <w:rsid w:val="00EC3C19"/>
    <w:rsid w:val="00EC4850"/>
    <w:rsid w:val="00EC54AF"/>
    <w:rsid w:val="00ED0CBD"/>
    <w:rsid w:val="00ED5166"/>
    <w:rsid w:val="00ED7825"/>
    <w:rsid w:val="00EE20AF"/>
    <w:rsid w:val="00EE5392"/>
    <w:rsid w:val="00EE5D95"/>
    <w:rsid w:val="00EE6440"/>
    <w:rsid w:val="00EF21AE"/>
    <w:rsid w:val="00EF32AD"/>
    <w:rsid w:val="00EF44D5"/>
    <w:rsid w:val="00EF4DC7"/>
    <w:rsid w:val="00EF507B"/>
    <w:rsid w:val="00EF6BAD"/>
    <w:rsid w:val="00F00E88"/>
    <w:rsid w:val="00F012D9"/>
    <w:rsid w:val="00F019B9"/>
    <w:rsid w:val="00F048A7"/>
    <w:rsid w:val="00F048C4"/>
    <w:rsid w:val="00F04C0F"/>
    <w:rsid w:val="00F0561C"/>
    <w:rsid w:val="00F05FF2"/>
    <w:rsid w:val="00F063DB"/>
    <w:rsid w:val="00F12DC7"/>
    <w:rsid w:val="00F2195D"/>
    <w:rsid w:val="00F238DC"/>
    <w:rsid w:val="00F25050"/>
    <w:rsid w:val="00F259C3"/>
    <w:rsid w:val="00F26341"/>
    <w:rsid w:val="00F2654C"/>
    <w:rsid w:val="00F30289"/>
    <w:rsid w:val="00F3330D"/>
    <w:rsid w:val="00F355C7"/>
    <w:rsid w:val="00F358EC"/>
    <w:rsid w:val="00F36B2D"/>
    <w:rsid w:val="00F36EF8"/>
    <w:rsid w:val="00F37C79"/>
    <w:rsid w:val="00F405EA"/>
    <w:rsid w:val="00F40EE5"/>
    <w:rsid w:val="00F431B3"/>
    <w:rsid w:val="00F43CB3"/>
    <w:rsid w:val="00F46EF6"/>
    <w:rsid w:val="00F5046D"/>
    <w:rsid w:val="00F5322C"/>
    <w:rsid w:val="00F539D1"/>
    <w:rsid w:val="00F54EA7"/>
    <w:rsid w:val="00F55823"/>
    <w:rsid w:val="00F55A66"/>
    <w:rsid w:val="00F600A7"/>
    <w:rsid w:val="00F602B4"/>
    <w:rsid w:val="00F61044"/>
    <w:rsid w:val="00F6109F"/>
    <w:rsid w:val="00F61F44"/>
    <w:rsid w:val="00F62A4F"/>
    <w:rsid w:val="00F649C4"/>
    <w:rsid w:val="00F64EFF"/>
    <w:rsid w:val="00F66058"/>
    <w:rsid w:val="00F675CF"/>
    <w:rsid w:val="00F67960"/>
    <w:rsid w:val="00F71D63"/>
    <w:rsid w:val="00F71FD0"/>
    <w:rsid w:val="00F7638F"/>
    <w:rsid w:val="00F772AF"/>
    <w:rsid w:val="00F809CB"/>
    <w:rsid w:val="00F835BE"/>
    <w:rsid w:val="00F84A64"/>
    <w:rsid w:val="00F91060"/>
    <w:rsid w:val="00F91B91"/>
    <w:rsid w:val="00F9264E"/>
    <w:rsid w:val="00F957EB"/>
    <w:rsid w:val="00FA245D"/>
    <w:rsid w:val="00FB0A6E"/>
    <w:rsid w:val="00FB2CB5"/>
    <w:rsid w:val="00FB55A8"/>
    <w:rsid w:val="00FB7374"/>
    <w:rsid w:val="00FC1E7C"/>
    <w:rsid w:val="00FC485D"/>
    <w:rsid w:val="00FC4876"/>
    <w:rsid w:val="00FC78E2"/>
    <w:rsid w:val="00FC7E99"/>
    <w:rsid w:val="00FD0265"/>
    <w:rsid w:val="00FD049A"/>
    <w:rsid w:val="00FD10B7"/>
    <w:rsid w:val="00FD258F"/>
    <w:rsid w:val="00FD25A0"/>
    <w:rsid w:val="00FD31F0"/>
    <w:rsid w:val="00FD3B7A"/>
    <w:rsid w:val="00FD441B"/>
    <w:rsid w:val="00FE082F"/>
    <w:rsid w:val="00FE231A"/>
    <w:rsid w:val="00FE2635"/>
    <w:rsid w:val="00FE39FF"/>
    <w:rsid w:val="00FE505A"/>
    <w:rsid w:val="00FE61D4"/>
    <w:rsid w:val="00FE676D"/>
    <w:rsid w:val="00FE71C6"/>
    <w:rsid w:val="00FF03D2"/>
    <w:rsid w:val="00FF1F2E"/>
    <w:rsid w:val="00FF3C60"/>
    <w:rsid w:val="00FF43BA"/>
    <w:rsid w:val="00FF5424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A3B55"/>
  <w15:docId w15:val="{D64E1032-3789-4DD7-B2F3-CC7FFC77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28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2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0287"/>
    <w:pPr>
      <w:keepNext/>
      <w:spacing w:before="240" w:after="60"/>
      <w:outlineLvl w:val="1"/>
    </w:pPr>
    <w:rPr>
      <w:rFonts w:ascii="Cambria" w:hAnsi="Cambria"/>
      <w:i/>
      <w:iCs/>
      <w:sz w:val="28"/>
      <w:szCs w:val="28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2B0287"/>
    <w:rPr>
      <w:rFonts w:ascii="Cambria" w:eastAsia="Times New Roman" w:hAnsi="Cambria" w:cs="Times New Roman"/>
      <w:i/>
      <w:iCs/>
      <w:sz w:val="28"/>
      <w:szCs w:val="28"/>
      <w:lang w:val="en-GB"/>
    </w:rPr>
  </w:style>
  <w:style w:type="paragraph" w:styleId="ListParagraph">
    <w:name w:val="List Paragraph"/>
    <w:aliases w:val="маркированный"/>
    <w:basedOn w:val="Normal"/>
    <w:link w:val="ListParagraphChar"/>
    <w:uiPriority w:val="34"/>
    <w:qFormat/>
    <w:rsid w:val="002B028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tr-TR" w:bidi="fa-IR"/>
    </w:rPr>
  </w:style>
  <w:style w:type="paragraph" w:styleId="Header">
    <w:name w:val="header"/>
    <w:basedOn w:val="Normal"/>
    <w:link w:val="HeaderChar"/>
    <w:uiPriority w:val="99"/>
    <w:unhideWhenUsed/>
    <w:rsid w:val="002B0287"/>
    <w:pPr>
      <w:tabs>
        <w:tab w:val="center" w:pos="4680"/>
        <w:tab w:val="right" w:pos="9360"/>
      </w:tabs>
    </w:pPr>
    <w:rPr>
      <w:sz w:val="20"/>
      <w:szCs w:val="20"/>
      <w:lang w:val="en-GB" w:bidi="fa-IR"/>
    </w:rPr>
  </w:style>
  <w:style w:type="character" w:customStyle="1" w:styleId="HeaderChar">
    <w:name w:val="Header Char"/>
    <w:link w:val="Header"/>
    <w:uiPriority w:val="99"/>
    <w:rsid w:val="002B028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0287"/>
    <w:pPr>
      <w:tabs>
        <w:tab w:val="center" w:pos="4680"/>
        <w:tab w:val="right" w:pos="9360"/>
      </w:tabs>
    </w:pPr>
    <w:rPr>
      <w:sz w:val="20"/>
      <w:szCs w:val="20"/>
      <w:lang w:val="en-GB" w:bidi="fa-IR"/>
    </w:rPr>
  </w:style>
  <w:style w:type="character" w:customStyle="1" w:styleId="FooterChar">
    <w:name w:val="Footer Char"/>
    <w:link w:val="Footer"/>
    <w:uiPriority w:val="99"/>
    <w:rsid w:val="002B028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маркированный Char"/>
    <w:link w:val="ListParagraph"/>
    <w:uiPriority w:val="34"/>
    <w:rsid w:val="002B0287"/>
    <w:rPr>
      <w:rFonts w:ascii="Calibri" w:eastAsia="Calibri" w:hAnsi="Calibri" w:cs="Times New Roman"/>
      <w:lang w:val="tr-TR"/>
    </w:rPr>
  </w:style>
  <w:style w:type="character" w:styleId="Emphasis">
    <w:name w:val="Emphasis"/>
    <w:uiPriority w:val="20"/>
    <w:qFormat/>
    <w:rsid w:val="002B02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E5F56"/>
    <w:pPr>
      <w:spacing w:before="100" w:beforeAutospacing="1" w:after="100" w:afterAutospacing="1"/>
    </w:pPr>
    <w:rPr>
      <w:lang w:bidi="fa-IR"/>
    </w:rPr>
  </w:style>
  <w:style w:type="character" w:customStyle="1" w:styleId="Heading1Char">
    <w:name w:val="Heading 1 Char"/>
    <w:link w:val="Heading1"/>
    <w:uiPriority w:val="9"/>
    <w:rsid w:val="00F012D9"/>
    <w:rPr>
      <w:rFonts w:ascii="Cambria" w:eastAsia="Times New Roman" w:hAnsi="Cambria" w:cs="Times New Roman"/>
      <w:b/>
      <w:bCs/>
      <w:kern w:val="32"/>
      <w:sz w:val="32"/>
      <w:szCs w:val="32"/>
      <w:lang w:val="en-GB" w:bidi="ar-SA"/>
    </w:rPr>
  </w:style>
  <w:style w:type="table" w:styleId="TableGrid">
    <w:name w:val="Table Grid"/>
    <w:basedOn w:val="TableNormal"/>
    <w:uiPriority w:val="39"/>
    <w:rsid w:val="008F6E8F"/>
    <w:pPr>
      <w:jc w:val="center"/>
    </w:pPr>
    <w:rPr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E7C72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25FA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0C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0C46"/>
    <w:rPr>
      <w:rFonts w:ascii="Times New Roman" w:eastAsia="Times New Roman" w:hAnsi="Times New Roman" w:cs="Times New Roman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B40C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C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C46"/>
    <w:rPr>
      <w:rFonts w:ascii="Times New Roman" w:eastAsia="Times New Roman" w:hAnsi="Times New Roman" w:cs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40C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46"/>
    <w:rPr>
      <w:rFonts w:ascii="Segoe UI" w:eastAsia="Times New Roman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B7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619"/>
    <w:rPr>
      <w:rFonts w:ascii="Times New Roman" w:eastAsia="Times New Roman" w:hAnsi="Times New Roman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619"/>
    <w:rPr>
      <w:rFonts w:ascii="Times New Roman" w:eastAsia="Times New Roman" w:hAnsi="Times New Roman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4824-0279-48B1-BF33-A1316953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Salohiddin</dc:creator>
  <cp:lastModifiedBy>Morteza Khansari Bozorgi</cp:lastModifiedBy>
  <cp:revision>29</cp:revision>
  <cp:lastPrinted>2022-11-07T09:26:00Z</cp:lastPrinted>
  <dcterms:created xsi:type="dcterms:W3CDTF">2026-04-15T20:38:00Z</dcterms:created>
  <dcterms:modified xsi:type="dcterms:W3CDTF">2026-05-31T06:50:00Z</dcterms:modified>
</cp:coreProperties>
</file>