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01C466" w14:textId="376C2CA8" w:rsidR="00A66A77" w:rsidRPr="00E9717B" w:rsidRDefault="00E9717B" w:rsidP="00E9717B">
      <w:pPr>
        <w:pStyle w:val="Heading1"/>
        <w:jc w:val="both"/>
        <w:rPr>
          <w:rFonts w:ascii="Arial" w:hAnsi="Arial" w:cs="Arial"/>
        </w:rPr>
      </w:pPr>
      <w:r w:rsidRPr="00E9717B">
        <w:rPr>
          <w:rFonts w:ascii="Arial" w:hAnsi="Arial" w:cs="Arial"/>
          <w:noProof/>
        </w:rPr>
        <w:drawing>
          <wp:anchor distT="0" distB="0" distL="114300" distR="114300" simplePos="0" relativeHeight="251658240" behindDoc="0" locked="0" layoutInCell="1" allowOverlap="1" wp14:anchorId="1FDF4EF9" wp14:editId="0BE293F7">
            <wp:simplePos x="0" y="0"/>
            <wp:positionH relativeFrom="column">
              <wp:posOffset>-380365</wp:posOffset>
            </wp:positionH>
            <wp:positionV relativeFrom="paragraph">
              <wp:posOffset>-609600</wp:posOffset>
            </wp:positionV>
            <wp:extent cx="3752850" cy="733425"/>
            <wp:effectExtent l="0" t="0" r="0" b="9525"/>
            <wp:wrapTopAndBottom/>
            <wp:docPr id="14814322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52850" cy="733425"/>
                    </a:xfrm>
                    <a:prstGeom prst="rect">
                      <a:avLst/>
                    </a:prstGeom>
                    <a:noFill/>
                    <a:ln>
                      <a:noFill/>
                    </a:ln>
                  </pic:spPr>
                </pic:pic>
              </a:graphicData>
            </a:graphic>
            <wp14:sizeRelH relativeFrom="page">
              <wp14:pctWidth>0</wp14:pctWidth>
            </wp14:sizeRelH>
            <wp14:sizeRelV relativeFrom="page">
              <wp14:pctHeight>0</wp14:pctHeight>
            </wp14:sizeRelV>
          </wp:anchor>
        </w:drawing>
      </w:r>
      <w:r w:rsidR="00790FBD" w:rsidRPr="00E9717B">
        <w:rPr>
          <w:rFonts w:ascii="Arial" w:hAnsi="Arial" w:cs="Arial"/>
        </w:rPr>
        <w:t>Concept Note: Strategic Foresight for Circular Economy Transition in the ECO Region</w:t>
      </w:r>
    </w:p>
    <w:p w14:paraId="7ED841AF" w14:textId="77777777" w:rsidR="00A66A77" w:rsidRPr="00E9717B" w:rsidRDefault="00790FBD" w:rsidP="00E9717B">
      <w:pPr>
        <w:pStyle w:val="Heading2"/>
        <w:jc w:val="both"/>
        <w:rPr>
          <w:rFonts w:ascii="Arial" w:hAnsi="Arial" w:cs="Arial"/>
        </w:rPr>
      </w:pPr>
      <w:r w:rsidRPr="00E9717B">
        <w:rPr>
          <w:rFonts w:ascii="Arial" w:hAnsi="Arial" w:cs="Arial"/>
        </w:rPr>
        <w:t>Issue Description</w:t>
      </w:r>
    </w:p>
    <w:p w14:paraId="7EA78FF5" w14:textId="77777777" w:rsidR="00E9717B" w:rsidRDefault="00790FBD" w:rsidP="00E9717B">
      <w:pPr>
        <w:jc w:val="both"/>
        <w:rPr>
          <w:rFonts w:cs="Arial"/>
        </w:rPr>
      </w:pPr>
      <w:r w:rsidRPr="00E9717B">
        <w:rPr>
          <w:rFonts w:cs="Arial"/>
        </w:rPr>
        <w:t>The ECO region, comprising ten member states—Afghanistan, Azerbaijan, Iran, Kazakhstan, Kyrgyzstan, Pakistan, Tajikistan, Turkey, Turkmenistan, and Uzbekistan—is facing mounting environmental and economic challenges due to unsustainable resource use. Material extraction and processing contribute significantly to biodiversity loss, water stress, and greenhouse gas emissions. The region’s diverse socio-economic profiles and industrial structures reflect varying degrees of readiness and capacity for circular economy (CE) transition.</w:t>
      </w:r>
    </w:p>
    <w:p w14:paraId="495CE576" w14:textId="32E99697" w:rsidR="00A66A77" w:rsidRPr="00E9717B" w:rsidRDefault="00790FBD" w:rsidP="00E9717B">
      <w:pPr>
        <w:jc w:val="both"/>
        <w:rPr>
          <w:rFonts w:cs="Arial"/>
        </w:rPr>
      </w:pPr>
      <w:r w:rsidRPr="00E9717B">
        <w:rPr>
          <w:rFonts w:cs="Arial"/>
        </w:rPr>
        <w:t>Despite these challenges, the circular economy presents a transformative opportunity for the ECO region. It offers pathways to decouple economic growth from resource consumption, reduce environmental degradation, and foster innovation and competitiveness. Recognizing this, the ECO launched the RESCUE Initiative at COP29 in 2024 and requested UNIDO’s support to develop a robust needs assessment and strategic foresight roadmap for CE transition.</w:t>
      </w:r>
    </w:p>
    <w:p w14:paraId="0BDBC8B2" w14:textId="77777777" w:rsidR="00A66A77" w:rsidRPr="00E9717B" w:rsidRDefault="00790FBD" w:rsidP="00E9717B">
      <w:pPr>
        <w:pStyle w:val="Heading2"/>
        <w:jc w:val="both"/>
        <w:rPr>
          <w:rFonts w:ascii="Arial" w:hAnsi="Arial" w:cs="Arial"/>
        </w:rPr>
      </w:pPr>
      <w:r w:rsidRPr="00E9717B">
        <w:rPr>
          <w:rFonts w:ascii="Arial" w:hAnsi="Arial" w:cs="Arial"/>
        </w:rPr>
        <w:t>UNIDO’s Relevance</w:t>
      </w:r>
    </w:p>
    <w:p w14:paraId="09AF0C90" w14:textId="77777777" w:rsidR="00A66A77" w:rsidRPr="00E9717B" w:rsidRDefault="00790FBD" w:rsidP="00E9717B">
      <w:pPr>
        <w:jc w:val="both"/>
        <w:rPr>
          <w:rFonts w:cs="Arial"/>
        </w:rPr>
      </w:pPr>
      <w:r w:rsidRPr="00E9717B">
        <w:rPr>
          <w:rFonts w:cs="Arial"/>
        </w:rPr>
        <w:t>UNIDO is uniquely positioned to support the ECO region in this endeavor due to its:</w:t>
      </w:r>
      <w:r w:rsidRPr="00E9717B">
        <w:rPr>
          <w:rFonts w:cs="Arial"/>
        </w:rPr>
        <w:br/>
        <w:t>- Proven expertise in strategic foresight methodologies applied to industrial and STI systems.</w:t>
      </w:r>
      <w:r w:rsidRPr="00E9717B">
        <w:rPr>
          <w:rFonts w:cs="Arial"/>
        </w:rPr>
        <w:br/>
        <w:t>- Long-standing engagement in circular economy policy development and implementation.</w:t>
      </w:r>
      <w:r w:rsidRPr="00E9717B">
        <w:rPr>
          <w:rFonts w:cs="Arial"/>
        </w:rPr>
        <w:br/>
        <w:t>- Capacity to mobilize multi-stakeholder networks and facilitate regional cooperation.</w:t>
      </w:r>
      <w:r w:rsidRPr="00E9717B">
        <w:rPr>
          <w:rFonts w:cs="Arial"/>
        </w:rPr>
        <w:br/>
        <w:t>- Experience in gender mainstreaming, ensuring inclusive and equitable development.</w:t>
      </w:r>
      <w:r w:rsidRPr="00E9717B">
        <w:rPr>
          <w:rFonts w:cs="Arial"/>
        </w:rPr>
        <w:br/>
      </w:r>
      <w:bookmarkStart w:id="0" w:name="_GoBack"/>
      <w:bookmarkEnd w:id="0"/>
      <w:r w:rsidRPr="00E9717B">
        <w:rPr>
          <w:rFonts w:cs="Arial"/>
        </w:rPr>
        <w:br/>
        <w:t>UNIDO’s approach integrates participatory foresight with CE strategy formulation, enabling ECO countries to anticipate future challenges, identify key technologies, and co-create actionable roadmaps for sustainable industrial transformation.</w:t>
      </w:r>
    </w:p>
    <w:p w14:paraId="1B81B71F" w14:textId="77777777" w:rsidR="00A66A77" w:rsidRDefault="00790FBD" w:rsidP="00E9717B">
      <w:pPr>
        <w:pStyle w:val="Heading2"/>
        <w:jc w:val="both"/>
        <w:rPr>
          <w:rFonts w:ascii="Arial" w:hAnsi="Arial" w:cs="Arial"/>
        </w:rPr>
      </w:pPr>
      <w:r w:rsidRPr="00E9717B">
        <w:rPr>
          <w:rFonts w:ascii="Arial" w:hAnsi="Arial" w:cs="Arial"/>
        </w:rPr>
        <w:t>Proposed Solution</w:t>
      </w:r>
    </w:p>
    <w:p w14:paraId="47416D58" w14:textId="43C1CC22" w:rsidR="00994D9F" w:rsidRPr="00994D9F" w:rsidRDefault="00994D9F" w:rsidP="00994D9F">
      <w:r w:rsidRPr="00994D9F">
        <w:t>The objective of the project is to enhance the capacity of stakeholders in ECO countries in developing and implementing policies and strategies for a just and appropriate transition towards circular economy compatible with the economic and social goals of the member countries.</w:t>
      </w:r>
    </w:p>
    <w:p w14:paraId="5A5AECB0" w14:textId="77777777" w:rsidR="00A66A77" w:rsidRPr="00E9717B" w:rsidRDefault="00790FBD" w:rsidP="00E9717B">
      <w:pPr>
        <w:pStyle w:val="Heading3"/>
        <w:jc w:val="both"/>
        <w:rPr>
          <w:rFonts w:ascii="Arial" w:hAnsi="Arial" w:cs="Arial"/>
        </w:rPr>
      </w:pPr>
      <w:r w:rsidRPr="00E9717B">
        <w:rPr>
          <w:rFonts w:ascii="Arial" w:hAnsi="Arial" w:cs="Arial"/>
        </w:rPr>
        <w:lastRenderedPageBreak/>
        <w:t>Expected Outcomes</w:t>
      </w:r>
    </w:p>
    <w:p w14:paraId="132EFCCA" w14:textId="77777777" w:rsidR="00E9717B" w:rsidRDefault="00790FBD" w:rsidP="00E9717B">
      <w:pPr>
        <w:pStyle w:val="ListParagraph"/>
        <w:numPr>
          <w:ilvl w:val="0"/>
          <w:numId w:val="10"/>
        </w:numPr>
        <w:jc w:val="both"/>
        <w:rPr>
          <w:rFonts w:cs="Arial"/>
        </w:rPr>
      </w:pPr>
      <w:r w:rsidRPr="00E9717B">
        <w:rPr>
          <w:rFonts w:cs="Arial"/>
        </w:rPr>
        <w:t>Adoption of a regional needs assessment and feasibility analysis for CE transition by ECO and member governments.</w:t>
      </w:r>
    </w:p>
    <w:p w14:paraId="6D370044" w14:textId="13402560" w:rsidR="00A66A77" w:rsidRPr="00E9717B" w:rsidRDefault="00790FBD" w:rsidP="00E9717B">
      <w:pPr>
        <w:pStyle w:val="ListParagraph"/>
        <w:numPr>
          <w:ilvl w:val="0"/>
          <w:numId w:val="10"/>
        </w:numPr>
        <w:jc w:val="both"/>
        <w:rPr>
          <w:rFonts w:cs="Arial"/>
        </w:rPr>
      </w:pPr>
      <w:r w:rsidRPr="00E9717B">
        <w:rPr>
          <w:rFonts w:cs="Arial"/>
        </w:rPr>
        <w:t>Establishment of an operational stakeholder network for CE foresight and implementation across the ECO region.</w:t>
      </w:r>
    </w:p>
    <w:p w14:paraId="721212DB" w14:textId="77777777" w:rsidR="00A66A77" w:rsidRPr="00E9717B" w:rsidRDefault="00790FBD" w:rsidP="00E9717B">
      <w:pPr>
        <w:pStyle w:val="Heading3"/>
        <w:jc w:val="both"/>
        <w:rPr>
          <w:rFonts w:ascii="Arial" w:hAnsi="Arial" w:cs="Arial"/>
        </w:rPr>
      </w:pPr>
      <w:r w:rsidRPr="00E9717B">
        <w:rPr>
          <w:rFonts w:ascii="Arial" w:hAnsi="Arial" w:cs="Arial"/>
        </w:rPr>
        <w:t>Outputs and Activities</w:t>
      </w:r>
    </w:p>
    <w:p w14:paraId="3A6A59F7" w14:textId="77777777" w:rsidR="00A66A77" w:rsidRPr="00E9717B" w:rsidRDefault="00790FBD" w:rsidP="00E9717B">
      <w:pPr>
        <w:pStyle w:val="Heading4"/>
        <w:jc w:val="both"/>
        <w:rPr>
          <w:rFonts w:ascii="Arial" w:hAnsi="Arial" w:cs="Arial"/>
        </w:rPr>
      </w:pPr>
      <w:r w:rsidRPr="00E9717B">
        <w:rPr>
          <w:rFonts w:ascii="Arial" w:hAnsi="Arial" w:cs="Arial"/>
        </w:rPr>
        <w:t>Output 1: Baseline Study and Preconditions Assessment</w:t>
      </w:r>
    </w:p>
    <w:p w14:paraId="1D0A1CB1" w14:textId="77777777" w:rsidR="00A66A77" w:rsidRPr="00E9717B" w:rsidRDefault="00790FBD" w:rsidP="00E9717B">
      <w:pPr>
        <w:jc w:val="both"/>
        <w:rPr>
          <w:rFonts w:cs="Arial"/>
        </w:rPr>
      </w:pPr>
      <w:r w:rsidRPr="00E9717B">
        <w:rPr>
          <w:rFonts w:cs="Arial"/>
        </w:rPr>
        <w:t>- Analyze national and regional CE trends, industrial structures, and stakeholder ecosystems.</w:t>
      </w:r>
      <w:r w:rsidRPr="00E9717B">
        <w:rPr>
          <w:rFonts w:cs="Arial"/>
        </w:rPr>
        <w:br/>
        <w:t>- Map existing CE initiatives, policies, and business practices.</w:t>
      </w:r>
      <w:r w:rsidRPr="00E9717B">
        <w:rPr>
          <w:rFonts w:cs="Arial"/>
        </w:rPr>
        <w:br/>
        <w:t>- Identify key product value chains and sectors for CE promotion.</w:t>
      </w:r>
      <w:r w:rsidRPr="00E9717B">
        <w:rPr>
          <w:rFonts w:cs="Arial"/>
        </w:rPr>
        <w:br/>
        <w:t>- Conduct stakeholder and social network analysis to assess cooperation potential and conflicts.</w:t>
      </w:r>
      <w:r w:rsidRPr="00E9717B">
        <w:rPr>
          <w:rFonts w:cs="Arial"/>
        </w:rPr>
        <w:br/>
        <w:t>- Develop circularity indicators and economic metrics for prioritized sectors.</w:t>
      </w:r>
    </w:p>
    <w:p w14:paraId="27FB827A" w14:textId="77777777" w:rsidR="00A66A77" w:rsidRPr="00E9717B" w:rsidRDefault="00790FBD" w:rsidP="00E9717B">
      <w:pPr>
        <w:pStyle w:val="Heading4"/>
        <w:jc w:val="both"/>
        <w:rPr>
          <w:rFonts w:ascii="Arial" w:hAnsi="Arial" w:cs="Arial"/>
        </w:rPr>
      </w:pPr>
      <w:r w:rsidRPr="00E9717B">
        <w:rPr>
          <w:rFonts w:ascii="Arial" w:hAnsi="Arial" w:cs="Arial"/>
        </w:rPr>
        <w:t>Output 2: National Foresight Exercises and Strategic Recommendations</w:t>
      </w:r>
    </w:p>
    <w:p w14:paraId="76C9436E" w14:textId="77777777" w:rsidR="00A66A77" w:rsidRPr="00E9717B" w:rsidRDefault="00790FBD" w:rsidP="00E9717B">
      <w:pPr>
        <w:jc w:val="both"/>
        <w:rPr>
          <w:rFonts w:cs="Arial"/>
        </w:rPr>
      </w:pPr>
      <w:r w:rsidRPr="00E9717B">
        <w:rPr>
          <w:rFonts w:cs="Arial"/>
        </w:rPr>
        <w:t>- Mobilize diverse stakeholder groups (government, academia, industry, civil society).</w:t>
      </w:r>
      <w:r w:rsidRPr="00E9717B">
        <w:rPr>
          <w:rFonts w:cs="Arial"/>
        </w:rPr>
        <w:br/>
        <w:t>- Conduct desk research and consultations to build exploratory scenarios.</w:t>
      </w:r>
      <w:r w:rsidRPr="00E9717B">
        <w:rPr>
          <w:rFonts w:cs="Arial"/>
        </w:rPr>
        <w:br/>
        <w:t>- Identify and assess key technologies through surveys and expert panels.</w:t>
      </w:r>
      <w:r w:rsidRPr="00E9717B">
        <w:rPr>
          <w:rFonts w:cs="Arial"/>
        </w:rPr>
        <w:br/>
        <w:t>- Develop future visions for CE transition at national and value chain levels.</w:t>
      </w:r>
      <w:r w:rsidRPr="00E9717B">
        <w:rPr>
          <w:rFonts w:cs="Arial"/>
        </w:rPr>
        <w:br/>
        <w:t>- Formulate technology roadmaps and policy recommendations.</w:t>
      </w:r>
    </w:p>
    <w:p w14:paraId="222CCD3F" w14:textId="77777777" w:rsidR="00A66A77" w:rsidRPr="00E9717B" w:rsidRDefault="00790FBD" w:rsidP="00E9717B">
      <w:pPr>
        <w:pStyle w:val="Heading4"/>
        <w:jc w:val="both"/>
        <w:rPr>
          <w:rFonts w:ascii="Arial" w:hAnsi="Arial" w:cs="Arial"/>
        </w:rPr>
      </w:pPr>
      <w:r w:rsidRPr="00E9717B">
        <w:rPr>
          <w:rFonts w:ascii="Arial" w:hAnsi="Arial" w:cs="Arial"/>
        </w:rPr>
        <w:t>Output 3: Regional Needs Assessment and Supranational Synthesis</w:t>
      </w:r>
    </w:p>
    <w:p w14:paraId="2BCAAE26" w14:textId="77777777" w:rsidR="00A66A77" w:rsidRPr="00E9717B" w:rsidRDefault="00790FBD" w:rsidP="00E9717B">
      <w:pPr>
        <w:jc w:val="both"/>
        <w:rPr>
          <w:rFonts w:cs="Arial"/>
        </w:rPr>
      </w:pPr>
      <w:r w:rsidRPr="00E9717B">
        <w:rPr>
          <w:rFonts w:cs="Arial"/>
        </w:rPr>
        <w:t>- Consolidate national foresight results into a regional synthesis.</w:t>
      </w:r>
      <w:r w:rsidRPr="00E9717B">
        <w:rPr>
          <w:rFonts w:cs="Arial"/>
        </w:rPr>
        <w:br/>
        <w:t>- Organize a supranational conference hosted by ECO HQ in Tehran to present findings.</w:t>
      </w:r>
      <w:r w:rsidRPr="00E9717B">
        <w:rPr>
          <w:rFonts w:cs="Arial"/>
        </w:rPr>
        <w:br/>
        <w:t>- Prepare a final report with regional CE transition pathways, policy recommendations, and cooperation mechanisms.</w:t>
      </w:r>
    </w:p>
    <w:p w14:paraId="1987AD7E" w14:textId="77777777" w:rsidR="00A66A77" w:rsidRPr="00E9717B" w:rsidRDefault="00790FBD" w:rsidP="00E9717B">
      <w:pPr>
        <w:pStyle w:val="Heading2"/>
        <w:jc w:val="both"/>
        <w:rPr>
          <w:rFonts w:ascii="Arial" w:hAnsi="Arial" w:cs="Arial"/>
        </w:rPr>
      </w:pPr>
      <w:r w:rsidRPr="00E9717B">
        <w:rPr>
          <w:rFonts w:ascii="Arial" w:hAnsi="Arial" w:cs="Arial"/>
        </w:rPr>
        <w:t>Implementation Approach</w:t>
      </w:r>
    </w:p>
    <w:p w14:paraId="05176B68" w14:textId="39E9E76B" w:rsidR="00A66A77" w:rsidRPr="00E9717B" w:rsidRDefault="00790FBD" w:rsidP="00E9717B">
      <w:pPr>
        <w:jc w:val="both"/>
        <w:rPr>
          <w:rFonts w:cs="Arial"/>
        </w:rPr>
      </w:pPr>
      <w:r w:rsidRPr="00E9717B">
        <w:rPr>
          <w:rFonts w:cs="Arial"/>
        </w:rPr>
        <w:t>- Multi-country foresight methodology applied to four representative ECO countries.</w:t>
      </w:r>
      <w:r w:rsidRPr="00E9717B">
        <w:rPr>
          <w:rFonts w:cs="Arial"/>
        </w:rPr>
        <w:br/>
        <w:t>- Three foresight horizons: immediate, 2030–2035, and beyond.</w:t>
      </w:r>
      <w:r w:rsidRPr="00E9717B">
        <w:rPr>
          <w:rFonts w:cs="Arial"/>
        </w:rPr>
        <w:br/>
        <w:t>- Participatory process involving national implementing partners, foresight experts, CE specialists, and a high-level steering committee.</w:t>
      </w:r>
      <w:r w:rsidRPr="00E9717B">
        <w:rPr>
          <w:rFonts w:cs="Arial"/>
        </w:rPr>
        <w:br/>
        <w:t>- Gender mainstreaming integrated throughout all activities.</w:t>
      </w:r>
    </w:p>
    <w:p w14:paraId="44EBA547" w14:textId="77777777" w:rsidR="00A66A77" w:rsidRPr="00E9717B" w:rsidRDefault="00790FBD" w:rsidP="00E9717B">
      <w:pPr>
        <w:jc w:val="both"/>
        <w:rPr>
          <w:rFonts w:cs="Arial"/>
        </w:rPr>
      </w:pPr>
      <w:r w:rsidRPr="00E9717B">
        <w:rPr>
          <w:rFonts w:cs="Arial"/>
        </w:rPr>
        <w:t>This project will equip ECO member states with the strategic intelligence, stakeholder engagement mechanisms, and policy tools necessary to lead a just and effective transition to a circular economy. UNIDO’s foresight-driven approach ensures that the transition is not only technically sound but also socially inclusive and regionally coordinated.</w:t>
      </w:r>
    </w:p>
    <w:p w14:paraId="2661616D" w14:textId="77777777" w:rsidR="00E9717B" w:rsidRPr="00E9717B" w:rsidRDefault="00E9717B" w:rsidP="00E9717B">
      <w:pPr>
        <w:jc w:val="both"/>
        <w:rPr>
          <w:rFonts w:eastAsiaTheme="majorEastAsia" w:cs="Arial"/>
          <w:b/>
          <w:color w:val="365F91" w:themeColor="accent1" w:themeShade="BF"/>
          <w:sz w:val="28"/>
          <w:szCs w:val="28"/>
        </w:rPr>
      </w:pPr>
      <w:r w:rsidRPr="00E9717B">
        <w:rPr>
          <w:rFonts w:cs="Arial"/>
          <w:bCs/>
        </w:rPr>
        <w:br w:type="page"/>
      </w:r>
    </w:p>
    <w:p w14:paraId="3725F13A" w14:textId="0E53228E" w:rsidR="00E9717B" w:rsidRPr="00E9717B" w:rsidRDefault="00E9717B" w:rsidP="00E9717B">
      <w:pPr>
        <w:pStyle w:val="Heading1"/>
        <w:jc w:val="both"/>
        <w:rPr>
          <w:rFonts w:ascii="Arial" w:hAnsi="Arial" w:cs="Arial"/>
          <w:bCs w:val="0"/>
        </w:rPr>
      </w:pPr>
      <w:r w:rsidRPr="00E9717B">
        <w:rPr>
          <w:rFonts w:ascii="Arial" w:hAnsi="Arial" w:cs="Arial"/>
          <w:bCs w:val="0"/>
        </w:rPr>
        <w:lastRenderedPageBreak/>
        <w:t>INDICATIVE BUDGET</w:t>
      </w:r>
    </w:p>
    <w:p w14:paraId="45A41177" w14:textId="77777777" w:rsidR="00E9717B" w:rsidRPr="00E9717B" w:rsidRDefault="00E9717B" w:rsidP="00E9717B">
      <w:pPr>
        <w:pStyle w:val="Header"/>
        <w:tabs>
          <w:tab w:val="left" w:pos="720"/>
        </w:tabs>
        <w:jc w:val="both"/>
        <w:rPr>
          <w:rFonts w:cs="Arial"/>
        </w:rPr>
      </w:pPr>
    </w:p>
    <w:p w14:paraId="423EE270" w14:textId="0A5AA962" w:rsidR="00E9717B" w:rsidRPr="00E9717B" w:rsidRDefault="00E9717B" w:rsidP="00E9717B">
      <w:pPr>
        <w:tabs>
          <w:tab w:val="left" w:pos="-720"/>
        </w:tabs>
        <w:suppressAutoHyphens/>
        <w:spacing w:line="240" w:lineRule="atLeast"/>
        <w:jc w:val="both"/>
        <w:rPr>
          <w:rFonts w:cs="Arial"/>
        </w:rPr>
      </w:pPr>
      <w:r w:rsidRPr="00E9717B">
        <w:rPr>
          <w:rFonts w:cs="Arial"/>
        </w:rPr>
        <w:t>Project Budget Breakdown (US$)</w:t>
      </w:r>
    </w:p>
    <w:p w14:paraId="0181C539" w14:textId="77777777" w:rsidR="00E9717B" w:rsidRPr="00E9717B" w:rsidRDefault="00E9717B" w:rsidP="00E9717B">
      <w:pPr>
        <w:pStyle w:val="Header"/>
        <w:tabs>
          <w:tab w:val="left" w:pos="720"/>
        </w:tabs>
        <w:jc w:val="both"/>
        <w:rPr>
          <w:rFonts w:cs="Arial"/>
        </w:rPr>
      </w:pPr>
    </w:p>
    <w:tbl>
      <w:tblPr>
        <w:tblW w:w="956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40"/>
        <w:gridCol w:w="4380"/>
        <w:gridCol w:w="1328"/>
        <w:gridCol w:w="1200"/>
        <w:gridCol w:w="1517"/>
      </w:tblGrid>
      <w:tr w:rsidR="00E9717B" w:rsidRPr="00E9717B" w14:paraId="7ED2225E" w14:textId="77777777" w:rsidTr="001F208C">
        <w:trPr>
          <w:jc w:val="center"/>
        </w:trPr>
        <w:tc>
          <w:tcPr>
            <w:tcW w:w="1140" w:type="dxa"/>
            <w:tcBorders>
              <w:top w:val="single" w:sz="4" w:space="0" w:color="auto"/>
              <w:left w:val="single" w:sz="4" w:space="0" w:color="auto"/>
              <w:bottom w:val="single" w:sz="4" w:space="0" w:color="auto"/>
              <w:right w:val="single" w:sz="4" w:space="0" w:color="auto"/>
            </w:tcBorders>
          </w:tcPr>
          <w:p w14:paraId="6A77C9B6" w14:textId="77777777" w:rsidR="00E9717B" w:rsidRPr="00E9717B" w:rsidRDefault="00E9717B" w:rsidP="00E9717B">
            <w:pPr>
              <w:jc w:val="both"/>
              <w:rPr>
                <w:rFonts w:cs="Arial"/>
              </w:rPr>
            </w:pPr>
            <w:bookmarkStart w:id="1" w:name="OLE_LINK3"/>
            <w:r w:rsidRPr="00E9717B">
              <w:rPr>
                <w:rFonts w:cs="Arial"/>
              </w:rPr>
              <w:t>Budget Line</w:t>
            </w:r>
          </w:p>
        </w:tc>
        <w:tc>
          <w:tcPr>
            <w:tcW w:w="4380" w:type="dxa"/>
            <w:tcBorders>
              <w:top w:val="single" w:sz="4" w:space="0" w:color="auto"/>
              <w:left w:val="single" w:sz="4" w:space="0" w:color="auto"/>
              <w:bottom w:val="single" w:sz="4" w:space="0" w:color="auto"/>
              <w:right w:val="single" w:sz="4" w:space="0" w:color="auto"/>
            </w:tcBorders>
          </w:tcPr>
          <w:p w14:paraId="10823931" w14:textId="77777777" w:rsidR="00E9717B" w:rsidRPr="00E9717B" w:rsidRDefault="00E9717B" w:rsidP="00E9717B">
            <w:pPr>
              <w:jc w:val="both"/>
              <w:rPr>
                <w:rFonts w:cs="Arial"/>
              </w:rPr>
            </w:pPr>
            <w:bookmarkStart w:id="2" w:name="_Toc246402930"/>
            <w:bookmarkStart w:id="3" w:name="_Toc246403480"/>
            <w:r w:rsidRPr="00E9717B">
              <w:rPr>
                <w:rFonts w:cs="Arial"/>
              </w:rPr>
              <w:t>Description</w:t>
            </w:r>
            <w:bookmarkEnd w:id="2"/>
            <w:bookmarkEnd w:id="3"/>
          </w:p>
        </w:tc>
        <w:tc>
          <w:tcPr>
            <w:tcW w:w="1328" w:type="dxa"/>
            <w:tcBorders>
              <w:top w:val="single" w:sz="4" w:space="0" w:color="auto"/>
              <w:left w:val="single" w:sz="4" w:space="0" w:color="auto"/>
              <w:bottom w:val="single" w:sz="4" w:space="0" w:color="auto"/>
              <w:right w:val="single" w:sz="4" w:space="0" w:color="auto"/>
            </w:tcBorders>
          </w:tcPr>
          <w:p w14:paraId="6ED8C538" w14:textId="77777777" w:rsidR="00E9717B" w:rsidRPr="00E9717B" w:rsidRDefault="00E9717B" w:rsidP="00E9717B">
            <w:pPr>
              <w:jc w:val="both"/>
              <w:rPr>
                <w:rFonts w:cs="Arial"/>
              </w:rPr>
            </w:pPr>
            <w:r w:rsidRPr="00E9717B">
              <w:rPr>
                <w:rFonts w:cs="Arial"/>
              </w:rPr>
              <w:t>Year 1</w:t>
            </w:r>
          </w:p>
        </w:tc>
        <w:tc>
          <w:tcPr>
            <w:tcW w:w="1200" w:type="dxa"/>
            <w:tcBorders>
              <w:top w:val="single" w:sz="4" w:space="0" w:color="auto"/>
              <w:left w:val="single" w:sz="4" w:space="0" w:color="auto"/>
              <w:bottom w:val="single" w:sz="4" w:space="0" w:color="auto"/>
              <w:right w:val="single" w:sz="4" w:space="0" w:color="auto"/>
            </w:tcBorders>
          </w:tcPr>
          <w:p w14:paraId="0D12ECEF" w14:textId="77777777" w:rsidR="00E9717B" w:rsidRPr="00E9717B" w:rsidRDefault="00E9717B" w:rsidP="00E9717B">
            <w:pPr>
              <w:jc w:val="both"/>
              <w:rPr>
                <w:rFonts w:cs="Arial"/>
              </w:rPr>
            </w:pPr>
            <w:r w:rsidRPr="00E9717B">
              <w:rPr>
                <w:rFonts w:cs="Arial"/>
              </w:rPr>
              <w:t>Year 2</w:t>
            </w:r>
          </w:p>
        </w:tc>
        <w:tc>
          <w:tcPr>
            <w:tcW w:w="1517" w:type="dxa"/>
            <w:tcBorders>
              <w:top w:val="single" w:sz="4" w:space="0" w:color="auto"/>
              <w:left w:val="single" w:sz="4" w:space="0" w:color="auto"/>
              <w:bottom w:val="single" w:sz="4" w:space="0" w:color="auto"/>
              <w:right w:val="single" w:sz="4" w:space="0" w:color="auto"/>
            </w:tcBorders>
          </w:tcPr>
          <w:p w14:paraId="2A183C68" w14:textId="77777777" w:rsidR="00E9717B" w:rsidRPr="00E9717B" w:rsidRDefault="00E9717B" w:rsidP="00E9717B">
            <w:pPr>
              <w:jc w:val="both"/>
              <w:rPr>
                <w:rFonts w:cs="Arial"/>
              </w:rPr>
            </w:pPr>
            <w:r w:rsidRPr="00E9717B">
              <w:rPr>
                <w:rFonts w:cs="Arial"/>
              </w:rPr>
              <w:t xml:space="preserve">Project Total </w:t>
            </w:r>
          </w:p>
        </w:tc>
      </w:tr>
      <w:tr w:rsidR="00E9717B" w:rsidRPr="00E9717B" w14:paraId="32F85A06" w14:textId="77777777" w:rsidTr="001F208C">
        <w:trPr>
          <w:jc w:val="center"/>
        </w:trPr>
        <w:tc>
          <w:tcPr>
            <w:tcW w:w="1140" w:type="dxa"/>
            <w:tcBorders>
              <w:top w:val="single" w:sz="4" w:space="0" w:color="auto"/>
              <w:left w:val="single" w:sz="4" w:space="0" w:color="auto"/>
              <w:bottom w:val="single" w:sz="4" w:space="0" w:color="auto"/>
              <w:right w:val="single" w:sz="4" w:space="0" w:color="auto"/>
            </w:tcBorders>
          </w:tcPr>
          <w:p w14:paraId="5E7D6004" w14:textId="77777777" w:rsidR="00E9717B" w:rsidRPr="00E9717B" w:rsidRDefault="00E9717B" w:rsidP="00E9717B">
            <w:pPr>
              <w:tabs>
                <w:tab w:val="left" w:pos="-720"/>
              </w:tabs>
              <w:suppressAutoHyphens/>
              <w:spacing w:line="240" w:lineRule="atLeast"/>
              <w:jc w:val="both"/>
              <w:rPr>
                <w:rFonts w:cs="Arial"/>
              </w:rPr>
            </w:pPr>
            <w:r w:rsidRPr="00E9717B">
              <w:rPr>
                <w:rFonts w:cs="Arial"/>
              </w:rPr>
              <w:t>11-00</w:t>
            </w:r>
          </w:p>
        </w:tc>
        <w:tc>
          <w:tcPr>
            <w:tcW w:w="4380" w:type="dxa"/>
            <w:tcBorders>
              <w:top w:val="single" w:sz="4" w:space="0" w:color="auto"/>
              <w:left w:val="single" w:sz="4" w:space="0" w:color="auto"/>
              <w:bottom w:val="single" w:sz="4" w:space="0" w:color="auto"/>
              <w:right w:val="single" w:sz="4" w:space="0" w:color="auto"/>
            </w:tcBorders>
          </w:tcPr>
          <w:p w14:paraId="0AD95AA4" w14:textId="77777777" w:rsidR="00E9717B" w:rsidRPr="00E9717B" w:rsidRDefault="00E9717B" w:rsidP="00E9717B">
            <w:pPr>
              <w:tabs>
                <w:tab w:val="left" w:pos="-720"/>
              </w:tabs>
              <w:suppressAutoHyphens/>
              <w:spacing w:line="240" w:lineRule="atLeast"/>
              <w:jc w:val="both"/>
              <w:rPr>
                <w:rFonts w:cs="Arial"/>
              </w:rPr>
            </w:pPr>
            <w:r w:rsidRPr="00E9717B">
              <w:rPr>
                <w:rFonts w:cs="Arial"/>
              </w:rPr>
              <w:t>International experts on technology foresight and circular economy</w:t>
            </w:r>
          </w:p>
        </w:tc>
        <w:tc>
          <w:tcPr>
            <w:tcW w:w="1328" w:type="dxa"/>
            <w:tcBorders>
              <w:top w:val="single" w:sz="4" w:space="0" w:color="auto"/>
              <w:left w:val="single" w:sz="4" w:space="0" w:color="auto"/>
              <w:bottom w:val="single" w:sz="4" w:space="0" w:color="auto"/>
              <w:right w:val="single" w:sz="4" w:space="0" w:color="auto"/>
            </w:tcBorders>
          </w:tcPr>
          <w:p w14:paraId="4F76E93E" w14:textId="77777777" w:rsidR="00E9717B" w:rsidRPr="00E9717B" w:rsidRDefault="00E9717B" w:rsidP="00E9717B">
            <w:pPr>
              <w:jc w:val="both"/>
              <w:rPr>
                <w:rFonts w:cs="Arial"/>
              </w:rPr>
            </w:pPr>
            <w:r w:rsidRPr="00E9717B">
              <w:rPr>
                <w:rFonts w:cs="Arial"/>
              </w:rPr>
              <w:t>65600</w:t>
            </w:r>
          </w:p>
          <w:p w14:paraId="1FDEDB0C" w14:textId="77777777" w:rsidR="00E9717B" w:rsidRPr="00E9717B" w:rsidRDefault="00E9717B" w:rsidP="00E9717B">
            <w:pPr>
              <w:jc w:val="both"/>
              <w:rPr>
                <w:rFonts w:cs="Arial"/>
              </w:rPr>
            </w:pPr>
            <w:r w:rsidRPr="00E9717B">
              <w:rPr>
                <w:rFonts w:cs="Arial"/>
              </w:rPr>
              <w:t xml:space="preserve"> (8.2 w/m)</w:t>
            </w:r>
          </w:p>
        </w:tc>
        <w:tc>
          <w:tcPr>
            <w:tcW w:w="1200" w:type="dxa"/>
            <w:tcBorders>
              <w:top w:val="single" w:sz="4" w:space="0" w:color="auto"/>
              <w:left w:val="single" w:sz="4" w:space="0" w:color="auto"/>
              <w:bottom w:val="single" w:sz="4" w:space="0" w:color="auto"/>
              <w:right w:val="single" w:sz="4" w:space="0" w:color="auto"/>
            </w:tcBorders>
          </w:tcPr>
          <w:p w14:paraId="438627F0" w14:textId="77777777" w:rsidR="00E9717B" w:rsidRPr="00E9717B" w:rsidRDefault="00E9717B" w:rsidP="00E9717B">
            <w:pPr>
              <w:jc w:val="both"/>
              <w:rPr>
                <w:rFonts w:cs="Arial"/>
              </w:rPr>
            </w:pPr>
            <w:r w:rsidRPr="00E9717B">
              <w:rPr>
                <w:rFonts w:cs="Arial"/>
              </w:rPr>
              <w:t>64800</w:t>
            </w:r>
          </w:p>
          <w:p w14:paraId="0CB6EE18" w14:textId="77777777" w:rsidR="00E9717B" w:rsidRPr="00E9717B" w:rsidRDefault="00E9717B" w:rsidP="00E9717B">
            <w:pPr>
              <w:jc w:val="both"/>
              <w:rPr>
                <w:rFonts w:cs="Arial"/>
              </w:rPr>
            </w:pPr>
            <w:r w:rsidRPr="00E9717B">
              <w:rPr>
                <w:rFonts w:cs="Arial"/>
              </w:rPr>
              <w:t>(8.1 w/m)</w:t>
            </w:r>
          </w:p>
        </w:tc>
        <w:tc>
          <w:tcPr>
            <w:tcW w:w="1517" w:type="dxa"/>
            <w:tcBorders>
              <w:top w:val="single" w:sz="4" w:space="0" w:color="auto"/>
              <w:left w:val="single" w:sz="4" w:space="0" w:color="auto"/>
              <w:bottom w:val="single" w:sz="4" w:space="0" w:color="auto"/>
              <w:right w:val="single" w:sz="4" w:space="0" w:color="auto"/>
            </w:tcBorders>
          </w:tcPr>
          <w:p w14:paraId="60D8C245" w14:textId="77777777" w:rsidR="00E9717B" w:rsidRPr="00E9717B" w:rsidRDefault="00E9717B" w:rsidP="00E9717B">
            <w:pPr>
              <w:jc w:val="both"/>
              <w:rPr>
                <w:rFonts w:cs="Arial"/>
              </w:rPr>
            </w:pPr>
            <w:r w:rsidRPr="00E9717B">
              <w:rPr>
                <w:rFonts w:cs="Arial"/>
              </w:rPr>
              <w:t>130400</w:t>
            </w:r>
          </w:p>
          <w:p w14:paraId="76A1A9B4" w14:textId="77777777" w:rsidR="00E9717B" w:rsidRPr="00E9717B" w:rsidRDefault="00E9717B" w:rsidP="00E9717B">
            <w:pPr>
              <w:jc w:val="both"/>
              <w:rPr>
                <w:rFonts w:cs="Arial"/>
              </w:rPr>
            </w:pPr>
            <w:r w:rsidRPr="00E9717B">
              <w:rPr>
                <w:rFonts w:cs="Arial"/>
              </w:rPr>
              <w:t>(16.3 w/m)</w:t>
            </w:r>
          </w:p>
        </w:tc>
      </w:tr>
      <w:tr w:rsidR="00E9717B" w:rsidRPr="00E9717B" w14:paraId="69A18BED" w14:textId="77777777" w:rsidTr="001F208C">
        <w:trPr>
          <w:jc w:val="center"/>
        </w:trPr>
        <w:tc>
          <w:tcPr>
            <w:tcW w:w="1140" w:type="dxa"/>
            <w:tcBorders>
              <w:top w:val="single" w:sz="4" w:space="0" w:color="auto"/>
              <w:left w:val="single" w:sz="4" w:space="0" w:color="auto"/>
              <w:bottom w:val="single" w:sz="4" w:space="0" w:color="auto"/>
              <w:right w:val="single" w:sz="4" w:space="0" w:color="auto"/>
            </w:tcBorders>
          </w:tcPr>
          <w:p w14:paraId="7CA266ED" w14:textId="41FEBE1E" w:rsidR="00E9717B" w:rsidRPr="00E9717B" w:rsidRDefault="00E9717B" w:rsidP="00E9717B">
            <w:pPr>
              <w:tabs>
                <w:tab w:val="left" w:pos="-720"/>
              </w:tabs>
              <w:suppressAutoHyphens/>
              <w:spacing w:line="240" w:lineRule="atLeast"/>
              <w:jc w:val="both"/>
              <w:rPr>
                <w:rFonts w:cs="Arial"/>
              </w:rPr>
            </w:pPr>
            <w:r w:rsidRPr="00E9717B">
              <w:rPr>
                <w:rFonts w:cs="Arial"/>
              </w:rPr>
              <w:t>1</w:t>
            </w:r>
            <w:r w:rsidR="00790FBD">
              <w:rPr>
                <w:rFonts w:cs="Arial"/>
              </w:rPr>
              <w:t>7</w:t>
            </w:r>
            <w:r w:rsidRPr="00E9717B">
              <w:rPr>
                <w:rFonts w:cs="Arial"/>
              </w:rPr>
              <w:t xml:space="preserve">-00 </w:t>
            </w:r>
          </w:p>
        </w:tc>
        <w:tc>
          <w:tcPr>
            <w:tcW w:w="4380" w:type="dxa"/>
            <w:tcBorders>
              <w:top w:val="single" w:sz="4" w:space="0" w:color="auto"/>
              <w:left w:val="single" w:sz="4" w:space="0" w:color="auto"/>
              <w:bottom w:val="single" w:sz="4" w:space="0" w:color="auto"/>
              <w:right w:val="single" w:sz="4" w:space="0" w:color="auto"/>
            </w:tcBorders>
          </w:tcPr>
          <w:p w14:paraId="7D538EA0" w14:textId="77777777" w:rsidR="00E9717B" w:rsidRPr="00E9717B" w:rsidRDefault="00E9717B" w:rsidP="00E9717B">
            <w:pPr>
              <w:tabs>
                <w:tab w:val="left" w:pos="-720"/>
              </w:tabs>
              <w:suppressAutoHyphens/>
              <w:spacing w:line="240" w:lineRule="atLeast"/>
              <w:jc w:val="both"/>
              <w:rPr>
                <w:rFonts w:cs="Arial"/>
              </w:rPr>
            </w:pPr>
            <w:r w:rsidRPr="00E9717B">
              <w:rPr>
                <w:rFonts w:cs="Arial"/>
              </w:rPr>
              <w:t>Research clerk</w:t>
            </w:r>
          </w:p>
        </w:tc>
        <w:tc>
          <w:tcPr>
            <w:tcW w:w="1328" w:type="dxa"/>
            <w:tcBorders>
              <w:top w:val="single" w:sz="4" w:space="0" w:color="auto"/>
              <w:left w:val="single" w:sz="4" w:space="0" w:color="auto"/>
              <w:bottom w:val="single" w:sz="4" w:space="0" w:color="auto"/>
              <w:right w:val="single" w:sz="4" w:space="0" w:color="auto"/>
            </w:tcBorders>
          </w:tcPr>
          <w:p w14:paraId="09938C23" w14:textId="77777777" w:rsidR="00E9717B" w:rsidRPr="00E9717B" w:rsidRDefault="00E9717B" w:rsidP="00E9717B">
            <w:pPr>
              <w:jc w:val="both"/>
              <w:rPr>
                <w:rFonts w:cs="Arial"/>
              </w:rPr>
            </w:pPr>
            <w:r w:rsidRPr="00E9717B">
              <w:rPr>
                <w:rFonts w:cs="Arial"/>
              </w:rPr>
              <w:t>10000</w:t>
            </w:r>
          </w:p>
        </w:tc>
        <w:tc>
          <w:tcPr>
            <w:tcW w:w="1200" w:type="dxa"/>
            <w:tcBorders>
              <w:top w:val="single" w:sz="4" w:space="0" w:color="auto"/>
              <w:left w:val="single" w:sz="4" w:space="0" w:color="auto"/>
              <w:bottom w:val="single" w:sz="4" w:space="0" w:color="auto"/>
              <w:right w:val="single" w:sz="4" w:space="0" w:color="auto"/>
            </w:tcBorders>
          </w:tcPr>
          <w:p w14:paraId="7C73BF80" w14:textId="77777777" w:rsidR="00E9717B" w:rsidRPr="00E9717B" w:rsidRDefault="00E9717B" w:rsidP="00E9717B">
            <w:pPr>
              <w:jc w:val="both"/>
              <w:rPr>
                <w:rFonts w:cs="Arial"/>
              </w:rPr>
            </w:pPr>
            <w:r w:rsidRPr="00E9717B">
              <w:rPr>
                <w:rFonts w:cs="Arial"/>
              </w:rPr>
              <w:t>2000</w:t>
            </w:r>
          </w:p>
        </w:tc>
        <w:tc>
          <w:tcPr>
            <w:tcW w:w="1517" w:type="dxa"/>
            <w:tcBorders>
              <w:top w:val="single" w:sz="4" w:space="0" w:color="auto"/>
              <w:left w:val="single" w:sz="4" w:space="0" w:color="auto"/>
              <w:bottom w:val="single" w:sz="4" w:space="0" w:color="auto"/>
              <w:right w:val="single" w:sz="4" w:space="0" w:color="auto"/>
            </w:tcBorders>
          </w:tcPr>
          <w:p w14:paraId="7F8698D1" w14:textId="77777777" w:rsidR="00E9717B" w:rsidRPr="00E9717B" w:rsidRDefault="00E9717B" w:rsidP="00E9717B">
            <w:pPr>
              <w:jc w:val="both"/>
              <w:rPr>
                <w:rFonts w:cs="Arial"/>
              </w:rPr>
            </w:pPr>
            <w:r w:rsidRPr="00E9717B">
              <w:rPr>
                <w:rFonts w:cs="Arial"/>
              </w:rPr>
              <w:t>12000</w:t>
            </w:r>
          </w:p>
        </w:tc>
      </w:tr>
      <w:tr w:rsidR="00E9717B" w:rsidRPr="00E9717B" w14:paraId="24EA3C90" w14:textId="77777777" w:rsidTr="001F208C">
        <w:trPr>
          <w:jc w:val="center"/>
        </w:trPr>
        <w:tc>
          <w:tcPr>
            <w:tcW w:w="1140" w:type="dxa"/>
            <w:tcBorders>
              <w:top w:val="single" w:sz="4" w:space="0" w:color="auto"/>
              <w:left w:val="single" w:sz="4" w:space="0" w:color="auto"/>
              <w:bottom w:val="single" w:sz="4" w:space="0" w:color="auto"/>
              <w:right w:val="single" w:sz="4" w:space="0" w:color="auto"/>
            </w:tcBorders>
          </w:tcPr>
          <w:p w14:paraId="7581E2A1" w14:textId="77777777" w:rsidR="00E9717B" w:rsidRPr="00E9717B" w:rsidRDefault="00E9717B" w:rsidP="00E9717B">
            <w:pPr>
              <w:tabs>
                <w:tab w:val="left" w:pos="-720"/>
              </w:tabs>
              <w:suppressAutoHyphens/>
              <w:spacing w:line="240" w:lineRule="atLeast"/>
              <w:jc w:val="both"/>
              <w:rPr>
                <w:rFonts w:cs="Arial"/>
              </w:rPr>
            </w:pPr>
            <w:r w:rsidRPr="00E9717B">
              <w:rPr>
                <w:rFonts w:cs="Arial"/>
              </w:rPr>
              <w:t xml:space="preserve">15-00 </w:t>
            </w:r>
          </w:p>
        </w:tc>
        <w:tc>
          <w:tcPr>
            <w:tcW w:w="4380" w:type="dxa"/>
            <w:tcBorders>
              <w:top w:val="single" w:sz="4" w:space="0" w:color="auto"/>
              <w:left w:val="single" w:sz="4" w:space="0" w:color="auto"/>
              <w:bottom w:val="single" w:sz="4" w:space="0" w:color="auto"/>
              <w:right w:val="single" w:sz="4" w:space="0" w:color="auto"/>
            </w:tcBorders>
          </w:tcPr>
          <w:p w14:paraId="12E02B09" w14:textId="77777777" w:rsidR="00E9717B" w:rsidRPr="00E9717B" w:rsidRDefault="00E9717B" w:rsidP="00E9717B">
            <w:pPr>
              <w:tabs>
                <w:tab w:val="left" w:pos="-720"/>
              </w:tabs>
              <w:suppressAutoHyphens/>
              <w:spacing w:line="240" w:lineRule="atLeast"/>
              <w:jc w:val="both"/>
              <w:rPr>
                <w:rFonts w:cs="Arial"/>
              </w:rPr>
            </w:pPr>
            <w:r w:rsidRPr="00E9717B">
              <w:rPr>
                <w:rFonts w:cs="Arial"/>
              </w:rPr>
              <w:t>Project travel costs</w:t>
            </w:r>
          </w:p>
        </w:tc>
        <w:tc>
          <w:tcPr>
            <w:tcW w:w="1328" w:type="dxa"/>
            <w:tcBorders>
              <w:top w:val="single" w:sz="4" w:space="0" w:color="auto"/>
              <w:left w:val="single" w:sz="4" w:space="0" w:color="auto"/>
              <w:bottom w:val="single" w:sz="4" w:space="0" w:color="auto"/>
              <w:right w:val="single" w:sz="4" w:space="0" w:color="auto"/>
            </w:tcBorders>
          </w:tcPr>
          <w:p w14:paraId="3CDFA527" w14:textId="77777777" w:rsidR="00E9717B" w:rsidRPr="00E9717B" w:rsidRDefault="00E9717B" w:rsidP="00E9717B">
            <w:pPr>
              <w:jc w:val="both"/>
              <w:rPr>
                <w:rFonts w:cs="Arial"/>
              </w:rPr>
            </w:pPr>
            <w:r w:rsidRPr="00E9717B">
              <w:rPr>
                <w:rFonts w:cs="Arial"/>
              </w:rPr>
              <w:t>34000</w:t>
            </w:r>
          </w:p>
        </w:tc>
        <w:tc>
          <w:tcPr>
            <w:tcW w:w="1200" w:type="dxa"/>
            <w:tcBorders>
              <w:top w:val="single" w:sz="4" w:space="0" w:color="auto"/>
              <w:left w:val="single" w:sz="4" w:space="0" w:color="auto"/>
              <w:bottom w:val="single" w:sz="4" w:space="0" w:color="auto"/>
              <w:right w:val="single" w:sz="4" w:space="0" w:color="auto"/>
            </w:tcBorders>
          </w:tcPr>
          <w:p w14:paraId="6ACF9B70" w14:textId="77777777" w:rsidR="00E9717B" w:rsidRPr="00E9717B" w:rsidRDefault="00E9717B" w:rsidP="00E9717B">
            <w:pPr>
              <w:jc w:val="both"/>
              <w:rPr>
                <w:rFonts w:cs="Arial"/>
              </w:rPr>
            </w:pPr>
            <w:r w:rsidRPr="00E9717B">
              <w:rPr>
                <w:rFonts w:cs="Arial"/>
              </w:rPr>
              <w:t>25000</w:t>
            </w:r>
          </w:p>
        </w:tc>
        <w:tc>
          <w:tcPr>
            <w:tcW w:w="1517" w:type="dxa"/>
            <w:tcBorders>
              <w:top w:val="single" w:sz="4" w:space="0" w:color="auto"/>
              <w:left w:val="single" w:sz="4" w:space="0" w:color="auto"/>
              <w:bottom w:val="single" w:sz="4" w:space="0" w:color="auto"/>
              <w:right w:val="single" w:sz="4" w:space="0" w:color="auto"/>
            </w:tcBorders>
          </w:tcPr>
          <w:p w14:paraId="398B0276" w14:textId="77777777" w:rsidR="00E9717B" w:rsidRPr="00E9717B" w:rsidRDefault="00E9717B" w:rsidP="00E9717B">
            <w:pPr>
              <w:jc w:val="both"/>
              <w:rPr>
                <w:rFonts w:cs="Arial"/>
              </w:rPr>
            </w:pPr>
            <w:r w:rsidRPr="00E9717B">
              <w:rPr>
                <w:rFonts w:cs="Arial"/>
              </w:rPr>
              <w:t>59000</w:t>
            </w:r>
          </w:p>
        </w:tc>
      </w:tr>
      <w:tr w:rsidR="00E9717B" w:rsidRPr="00E9717B" w14:paraId="144CEF21" w14:textId="77777777" w:rsidTr="001F208C">
        <w:trPr>
          <w:jc w:val="center"/>
        </w:trPr>
        <w:tc>
          <w:tcPr>
            <w:tcW w:w="1140" w:type="dxa"/>
            <w:tcBorders>
              <w:top w:val="single" w:sz="4" w:space="0" w:color="auto"/>
              <w:left w:val="single" w:sz="4" w:space="0" w:color="auto"/>
              <w:bottom w:val="single" w:sz="4" w:space="0" w:color="auto"/>
              <w:right w:val="single" w:sz="4" w:space="0" w:color="auto"/>
            </w:tcBorders>
          </w:tcPr>
          <w:p w14:paraId="49223608" w14:textId="77777777" w:rsidR="00E9717B" w:rsidRPr="00E9717B" w:rsidRDefault="00E9717B" w:rsidP="00E9717B">
            <w:pPr>
              <w:tabs>
                <w:tab w:val="left" w:pos="-720"/>
              </w:tabs>
              <w:suppressAutoHyphens/>
              <w:spacing w:line="240" w:lineRule="atLeast"/>
              <w:jc w:val="both"/>
              <w:rPr>
                <w:rFonts w:cs="Arial"/>
              </w:rPr>
            </w:pPr>
            <w:r w:rsidRPr="00E9717B">
              <w:rPr>
                <w:rFonts w:cs="Arial"/>
              </w:rPr>
              <w:t xml:space="preserve">16-00 </w:t>
            </w:r>
          </w:p>
        </w:tc>
        <w:tc>
          <w:tcPr>
            <w:tcW w:w="4380" w:type="dxa"/>
            <w:tcBorders>
              <w:top w:val="single" w:sz="4" w:space="0" w:color="auto"/>
              <w:left w:val="single" w:sz="4" w:space="0" w:color="auto"/>
              <w:bottom w:val="single" w:sz="4" w:space="0" w:color="auto"/>
              <w:right w:val="single" w:sz="4" w:space="0" w:color="auto"/>
            </w:tcBorders>
          </w:tcPr>
          <w:p w14:paraId="407FA2F4" w14:textId="77777777" w:rsidR="00E9717B" w:rsidRPr="00E9717B" w:rsidRDefault="00E9717B" w:rsidP="00E9717B">
            <w:pPr>
              <w:tabs>
                <w:tab w:val="left" w:pos="-720"/>
              </w:tabs>
              <w:suppressAutoHyphens/>
              <w:spacing w:line="240" w:lineRule="atLeast"/>
              <w:jc w:val="both"/>
              <w:rPr>
                <w:rFonts w:cs="Arial"/>
              </w:rPr>
            </w:pPr>
            <w:r w:rsidRPr="00E9717B">
              <w:rPr>
                <w:rFonts w:cs="Arial"/>
              </w:rPr>
              <w:t>UNIDO staff travel costs</w:t>
            </w:r>
            <w:r w:rsidRPr="00E9717B">
              <w:rPr>
                <w:rFonts w:cs="Arial"/>
              </w:rPr>
              <w:tab/>
            </w:r>
          </w:p>
        </w:tc>
        <w:tc>
          <w:tcPr>
            <w:tcW w:w="1328" w:type="dxa"/>
            <w:tcBorders>
              <w:top w:val="single" w:sz="4" w:space="0" w:color="auto"/>
              <w:left w:val="single" w:sz="4" w:space="0" w:color="auto"/>
              <w:bottom w:val="single" w:sz="4" w:space="0" w:color="auto"/>
              <w:right w:val="single" w:sz="4" w:space="0" w:color="auto"/>
            </w:tcBorders>
          </w:tcPr>
          <w:p w14:paraId="7B9B4081" w14:textId="77777777" w:rsidR="00E9717B" w:rsidRPr="00E9717B" w:rsidRDefault="00E9717B" w:rsidP="00E9717B">
            <w:pPr>
              <w:jc w:val="both"/>
              <w:rPr>
                <w:rFonts w:cs="Arial"/>
              </w:rPr>
            </w:pPr>
            <w:r w:rsidRPr="00E9717B">
              <w:rPr>
                <w:rFonts w:cs="Arial"/>
              </w:rPr>
              <w:t>7500</w:t>
            </w:r>
          </w:p>
        </w:tc>
        <w:tc>
          <w:tcPr>
            <w:tcW w:w="1200" w:type="dxa"/>
            <w:tcBorders>
              <w:top w:val="single" w:sz="4" w:space="0" w:color="auto"/>
              <w:left w:val="single" w:sz="4" w:space="0" w:color="auto"/>
              <w:bottom w:val="single" w:sz="4" w:space="0" w:color="auto"/>
              <w:right w:val="single" w:sz="4" w:space="0" w:color="auto"/>
            </w:tcBorders>
          </w:tcPr>
          <w:p w14:paraId="0E069B37" w14:textId="77777777" w:rsidR="00E9717B" w:rsidRPr="00E9717B" w:rsidRDefault="00E9717B" w:rsidP="00E9717B">
            <w:pPr>
              <w:jc w:val="both"/>
              <w:rPr>
                <w:rFonts w:cs="Arial"/>
              </w:rPr>
            </w:pPr>
            <w:r w:rsidRPr="00E9717B">
              <w:rPr>
                <w:rFonts w:cs="Arial"/>
              </w:rPr>
              <w:t>10000</w:t>
            </w:r>
          </w:p>
        </w:tc>
        <w:tc>
          <w:tcPr>
            <w:tcW w:w="1517" w:type="dxa"/>
            <w:tcBorders>
              <w:top w:val="single" w:sz="4" w:space="0" w:color="auto"/>
              <w:left w:val="single" w:sz="4" w:space="0" w:color="auto"/>
              <w:bottom w:val="single" w:sz="4" w:space="0" w:color="auto"/>
              <w:right w:val="single" w:sz="4" w:space="0" w:color="auto"/>
            </w:tcBorders>
          </w:tcPr>
          <w:p w14:paraId="2E7D3452" w14:textId="77777777" w:rsidR="00E9717B" w:rsidRPr="00E9717B" w:rsidRDefault="00E9717B" w:rsidP="00E9717B">
            <w:pPr>
              <w:jc w:val="both"/>
              <w:rPr>
                <w:rFonts w:cs="Arial"/>
              </w:rPr>
            </w:pPr>
            <w:r w:rsidRPr="00E9717B">
              <w:rPr>
                <w:rFonts w:cs="Arial"/>
              </w:rPr>
              <w:t>17500</w:t>
            </w:r>
          </w:p>
        </w:tc>
      </w:tr>
      <w:tr w:rsidR="00E9717B" w:rsidRPr="00E9717B" w14:paraId="48AF2476" w14:textId="77777777" w:rsidTr="001F208C">
        <w:trPr>
          <w:trHeight w:val="377"/>
          <w:jc w:val="center"/>
        </w:trPr>
        <w:tc>
          <w:tcPr>
            <w:tcW w:w="1140" w:type="dxa"/>
            <w:tcBorders>
              <w:top w:val="single" w:sz="4" w:space="0" w:color="auto"/>
              <w:left w:val="single" w:sz="4" w:space="0" w:color="auto"/>
              <w:bottom w:val="single" w:sz="4" w:space="0" w:color="auto"/>
              <w:right w:val="single" w:sz="4" w:space="0" w:color="auto"/>
            </w:tcBorders>
          </w:tcPr>
          <w:p w14:paraId="667E8773" w14:textId="77777777" w:rsidR="00E9717B" w:rsidRPr="00E9717B" w:rsidRDefault="00E9717B" w:rsidP="00E9717B">
            <w:pPr>
              <w:tabs>
                <w:tab w:val="left" w:pos="-720"/>
              </w:tabs>
              <w:suppressAutoHyphens/>
              <w:spacing w:line="240" w:lineRule="atLeast"/>
              <w:jc w:val="both"/>
              <w:rPr>
                <w:rFonts w:cs="Arial"/>
              </w:rPr>
            </w:pPr>
            <w:r w:rsidRPr="00E9717B">
              <w:rPr>
                <w:rFonts w:cs="Arial"/>
              </w:rPr>
              <w:t>Sub-total</w:t>
            </w:r>
          </w:p>
        </w:tc>
        <w:tc>
          <w:tcPr>
            <w:tcW w:w="4380" w:type="dxa"/>
            <w:tcBorders>
              <w:top w:val="single" w:sz="4" w:space="0" w:color="auto"/>
              <w:left w:val="single" w:sz="4" w:space="0" w:color="auto"/>
              <w:bottom w:val="single" w:sz="4" w:space="0" w:color="auto"/>
              <w:right w:val="single" w:sz="4" w:space="0" w:color="auto"/>
            </w:tcBorders>
            <w:shd w:val="clear" w:color="auto" w:fill="E6E6E6"/>
          </w:tcPr>
          <w:p w14:paraId="1F1F250A" w14:textId="77777777" w:rsidR="00E9717B" w:rsidRPr="00E9717B" w:rsidRDefault="00E9717B" w:rsidP="00E9717B">
            <w:pPr>
              <w:tabs>
                <w:tab w:val="left" w:pos="-720"/>
              </w:tabs>
              <w:suppressAutoHyphens/>
              <w:spacing w:line="240" w:lineRule="atLeast"/>
              <w:jc w:val="both"/>
              <w:rPr>
                <w:rFonts w:cs="Arial"/>
              </w:rPr>
            </w:pPr>
          </w:p>
        </w:tc>
        <w:tc>
          <w:tcPr>
            <w:tcW w:w="1328" w:type="dxa"/>
            <w:tcBorders>
              <w:top w:val="single" w:sz="4" w:space="0" w:color="auto"/>
              <w:left w:val="single" w:sz="4" w:space="0" w:color="auto"/>
              <w:bottom w:val="single" w:sz="4" w:space="0" w:color="auto"/>
              <w:right w:val="single" w:sz="4" w:space="0" w:color="auto"/>
            </w:tcBorders>
          </w:tcPr>
          <w:p w14:paraId="08DCB772" w14:textId="77777777" w:rsidR="00E9717B" w:rsidRPr="00E9717B" w:rsidRDefault="00E9717B" w:rsidP="00E9717B">
            <w:pPr>
              <w:jc w:val="both"/>
              <w:rPr>
                <w:rFonts w:cs="Arial"/>
              </w:rPr>
            </w:pPr>
            <w:r w:rsidRPr="00E9717B">
              <w:rPr>
                <w:rFonts w:cs="Arial"/>
              </w:rPr>
              <w:t>117100</w:t>
            </w:r>
          </w:p>
        </w:tc>
        <w:tc>
          <w:tcPr>
            <w:tcW w:w="1200" w:type="dxa"/>
            <w:tcBorders>
              <w:top w:val="single" w:sz="4" w:space="0" w:color="auto"/>
              <w:left w:val="single" w:sz="4" w:space="0" w:color="auto"/>
              <w:bottom w:val="single" w:sz="4" w:space="0" w:color="auto"/>
              <w:right w:val="single" w:sz="4" w:space="0" w:color="auto"/>
            </w:tcBorders>
          </w:tcPr>
          <w:p w14:paraId="1676367B" w14:textId="77777777" w:rsidR="00E9717B" w:rsidRPr="00E9717B" w:rsidRDefault="00E9717B" w:rsidP="00E9717B">
            <w:pPr>
              <w:jc w:val="both"/>
              <w:rPr>
                <w:rFonts w:cs="Arial"/>
              </w:rPr>
            </w:pPr>
            <w:r w:rsidRPr="00E9717B">
              <w:rPr>
                <w:rFonts w:cs="Arial"/>
              </w:rPr>
              <w:t>101800</w:t>
            </w:r>
          </w:p>
        </w:tc>
        <w:tc>
          <w:tcPr>
            <w:tcW w:w="1517" w:type="dxa"/>
            <w:tcBorders>
              <w:top w:val="single" w:sz="4" w:space="0" w:color="auto"/>
              <w:left w:val="single" w:sz="4" w:space="0" w:color="auto"/>
              <w:bottom w:val="single" w:sz="4" w:space="0" w:color="auto"/>
              <w:right w:val="single" w:sz="4" w:space="0" w:color="auto"/>
            </w:tcBorders>
          </w:tcPr>
          <w:p w14:paraId="5014CAA6" w14:textId="77777777" w:rsidR="00E9717B" w:rsidRPr="00E9717B" w:rsidRDefault="00E9717B" w:rsidP="00E9717B">
            <w:pPr>
              <w:jc w:val="both"/>
              <w:rPr>
                <w:rFonts w:cs="Arial"/>
              </w:rPr>
            </w:pPr>
            <w:r w:rsidRPr="00E9717B">
              <w:rPr>
                <w:rFonts w:cs="Arial"/>
              </w:rPr>
              <w:t>218900</w:t>
            </w:r>
          </w:p>
        </w:tc>
      </w:tr>
      <w:tr w:rsidR="00E9717B" w:rsidRPr="00E9717B" w14:paraId="4377054F" w14:textId="77777777" w:rsidTr="001F208C">
        <w:trPr>
          <w:jc w:val="center"/>
        </w:trPr>
        <w:tc>
          <w:tcPr>
            <w:tcW w:w="1140" w:type="dxa"/>
            <w:tcBorders>
              <w:top w:val="single" w:sz="4" w:space="0" w:color="auto"/>
              <w:left w:val="single" w:sz="4" w:space="0" w:color="auto"/>
              <w:bottom w:val="nil"/>
              <w:right w:val="single" w:sz="4" w:space="0" w:color="auto"/>
            </w:tcBorders>
          </w:tcPr>
          <w:p w14:paraId="02169AC3" w14:textId="77777777" w:rsidR="00E9717B" w:rsidRPr="00E9717B" w:rsidRDefault="00E9717B" w:rsidP="00E9717B">
            <w:pPr>
              <w:tabs>
                <w:tab w:val="left" w:pos="-720"/>
              </w:tabs>
              <w:suppressAutoHyphens/>
              <w:spacing w:line="240" w:lineRule="atLeast"/>
              <w:jc w:val="both"/>
              <w:rPr>
                <w:rFonts w:cs="Arial"/>
              </w:rPr>
            </w:pPr>
            <w:r w:rsidRPr="00E9717B">
              <w:rPr>
                <w:rFonts w:cs="Arial"/>
              </w:rPr>
              <w:t xml:space="preserve">21-01 </w:t>
            </w:r>
          </w:p>
        </w:tc>
        <w:tc>
          <w:tcPr>
            <w:tcW w:w="4380" w:type="dxa"/>
            <w:tcBorders>
              <w:top w:val="single" w:sz="4" w:space="0" w:color="auto"/>
              <w:left w:val="single" w:sz="4" w:space="0" w:color="auto"/>
              <w:bottom w:val="single" w:sz="4" w:space="0" w:color="auto"/>
              <w:right w:val="single" w:sz="4" w:space="0" w:color="auto"/>
            </w:tcBorders>
          </w:tcPr>
          <w:p w14:paraId="383BE0CA" w14:textId="77777777" w:rsidR="00E9717B" w:rsidRPr="00E9717B" w:rsidRDefault="00E9717B" w:rsidP="00E9717B">
            <w:pPr>
              <w:pStyle w:val="Footer"/>
              <w:tabs>
                <w:tab w:val="left" w:pos="-720"/>
              </w:tabs>
              <w:suppressAutoHyphens/>
              <w:spacing w:line="240" w:lineRule="atLeast"/>
              <w:jc w:val="both"/>
              <w:rPr>
                <w:rFonts w:cs="Arial"/>
              </w:rPr>
            </w:pPr>
            <w:r w:rsidRPr="00E9717B">
              <w:rPr>
                <w:rFonts w:cs="Arial"/>
              </w:rPr>
              <w:t>Sub-contract 1 – Baseline study contractor</w:t>
            </w:r>
          </w:p>
        </w:tc>
        <w:tc>
          <w:tcPr>
            <w:tcW w:w="1328" w:type="dxa"/>
            <w:tcBorders>
              <w:top w:val="single" w:sz="4" w:space="0" w:color="auto"/>
              <w:left w:val="single" w:sz="4" w:space="0" w:color="auto"/>
              <w:bottom w:val="single" w:sz="4" w:space="0" w:color="auto"/>
              <w:right w:val="single" w:sz="4" w:space="0" w:color="auto"/>
            </w:tcBorders>
          </w:tcPr>
          <w:p w14:paraId="6C2B76D4" w14:textId="77777777" w:rsidR="00E9717B" w:rsidRPr="00E9717B" w:rsidRDefault="00E9717B" w:rsidP="00E9717B">
            <w:pPr>
              <w:jc w:val="both"/>
              <w:rPr>
                <w:rFonts w:cs="Arial"/>
              </w:rPr>
            </w:pPr>
            <w:r w:rsidRPr="00E9717B">
              <w:rPr>
                <w:rFonts w:cs="Arial"/>
              </w:rPr>
              <w:t>64800</w:t>
            </w:r>
          </w:p>
        </w:tc>
        <w:tc>
          <w:tcPr>
            <w:tcW w:w="1200" w:type="dxa"/>
            <w:tcBorders>
              <w:top w:val="single" w:sz="4" w:space="0" w:color="auto"/>
              <w:left w:val="single" w:sz="4" w:space="0" w:color="auto"/>
              <w:bottom w:val="single" w:sz="4" w:space="0" w:color="auto"/>
              <w:right w:val="single" w:sz="4" w:space="0" w:color="auto"/>
            </w:tcBorders>
          </w:tcPr>
          <w:p w14:paraId="5A7AA4DD" w14:textId="77777777" w:rsidR="00E9717B" w:rsidRPr="00E9717B" w:rsidRDefault="00E9717B" w:rsidP="00E9717B">
            <w:pPr>
              <w:jc w:val="both"/>
              <w:rPr>
                <w:rFonts w:cs="Arial"/>
              </w:rPr>
            </w:pPr>
            <w:r w:rsidRPr="00E9717B">
              <w:rPr>
                <w:rFonts w:cs="Arial"/>
              </w:rPr>
              <w:t>-</w:t>
            </w:r>
          </w:p>
        </w:tc>
        <w:tc>
          <w:tcPr>
            <w:tcW w:w="1517" w:type="dxa"/>
            <w:tcBorders>
              <w:top w:val="single" w:sz="4" w:space="0" w:color="auto"/>
              <w:left w:val="single" w:sz="4" w:space="0" w:color="auto"/>
              <w:bottom w:val="single" w:sz="4" w:space="0" w:color="auto"/>
              <w:right w:val="single" w:sz="4" w:space="0" w:color="auto"/>
            </w:tcBorders>
          </w:tcPr>
          <w:p w14:paraId="2E13AA3F" w14:textId="77777777" w:rsidR="00E9717B" w:rsidRPr="00E9717B" w:rsidRDefault="00E9717B" w:rsidP="00E9717B">
            <w:pPr>
              <w:jc w:val="both"/>
              <w:rPr>
                <w:rFonts w:cs="Arial"/>
              </w:rPr>
            </w:pPr>
            <w:r w:rsidRPr="00E9717B">
              <w:rPr>
                <w:rFonts w:cs="Arial"/>
              </w:rPr>
              <w:t>64800</w:t>
            </w:r>
          </w:p>
        </w:tc>
      </w:tr>
      <w:tr w:rsidR="00E9717B" w:rsidRPr="00E9717B" w14:paraId="38661732" w14:textId="77777777" w:rsidTr="001F208C">
        <w:trPr>
          <w:jc w:val="center"/>
        </w:trPr>
        <w:tc>
          <w:tcPr>
            <w:tcW w:w="1140" w:type="dxa"/>
            <w:tcBorders>
              <w:top w:val="single" w:sz="4" w:space="0" w:color="auto"/>
              <w:left w:val="single" w:sz="4" w:space="0" w:color="auto"/>
              <w:bottom w:val="nil"/>
              <w:right w:val="single" w:sz="4" w:space="0" w:color="auto"/>
            </w:tcBorders>
          </w:tcPr>
          <w:p w14:paraId="48137A0C" w14:textId="77777777" w:rsidR="00E9717B" w:rsidRPr="00E9717B" w:rsidRDefault="00E9717B" w:rsidP="00E9717B">
            <w:pPr>
              <w:tabs>
                <w:tab w:val="left" w:pos="-720"/>
              </w:tabs>
              <w:suppressAutoHyphens/>
              <w:spacing w:line="240" w:lineRule="atLeast"/>
              <w:jc w:val="both"/>
              <w:rPr>
                <w:rFonts w:cs="Arial"/>
              </w:rPr>
            </w:pPr>
            <w:r w:rsidRPr="00E9717B">
              <w:rPr>
                <w:rFonts w:cs="Arial"/>
              </w:rPr>
              <w:t>21-02</w:t>
            </w:r>
          </w:p>
        </w:tc>
        <w:tc>
          <w:tcPr>
            <w:tcW w:w="4380" w:type="dxa"/>
            <w:tcBorders>
              <w:top w:val="single" w:sz="4" w:space="0" w:color="auto"/>
              <w:left w:val="single" w:sz="4" w:space="0" w:color="auto"/>
              <w:bottom w:val="single" w:sz="4" w:space="0" w:color="auto"/>
              <w:right w:val="single" w:sz="4" w:space="0" w:color="auto"/>
            </w:tcBorders>
          </w:tcPr>
          <w:p w14:paraId="2E3DE9BD" w14:textId="77777777" w:rsidR="00E9717B" w:rsidRPr="00E9717B" w:rsidRDefault="00E9717B" w:rsidP="00E9717B">
            <w:pPr>
              <w:pStyle w:val="Footer"/>
              <w:tabs>
                <w:tab w:val="left" w:pos="-720"/>
              </w:tabs>
              <w:suppressAutoHyphens/>
              <w:spacing w:line="240" w:lineRule="atLeast"/>
              <w:jc w:val="both"/>
              <w:rPr>
                <w:rFonts w:cs="Arial"/>
              </w:rPr>
            </w:pPr>
            <w:r w:rsidRPr="00E9717B">
              <w:rPr>
                <w:rFonts w:cs="Arial"/>
              </w:rPr>
              <w:t>Sub-contract 2– National Implementing Partners (4)</w:t>
            </w:r>
          </w:p>
        </w:tc>
        <w:tc>
          <w:tcPr>
            <w:tcW w:w="1328" w:type="dxa"/>
            <w:tcBorders>
              <w:top w:val="single" w:sz="4" w:space="0" w:color="auto"/>
              <w:left w:val="single" w:sz="4" w:space="0" w:color="auto"/>
              <w:bottom w:val="single" w:sz="4" w:space="0" w:color="auto"/>
              <w:right w:val="single" w:sz="4" w:space="0" w:color="auto"/>
            </w:tcBorders>
          </w:tcPr>
          <w:p w14:paraId="183CC729" w14:textId="77777777" w:rsidR="00E9717B" w:rsidRPr="00E9717B" w:rsidRDefault="00E9717B" w:rsidP="00E9717B">
            <w:pPr>
              <w:jc w:val="both"/>
              <w:rPr>
                <w:rFonts w:cs="Arial"/>
              </w:rPr>
            </w:pPr>
            <w:r w:rsidRPr="00E9717B">
              <w:rPr>
                <w:rFonts w:cs="Arial"/>
              </w:rPr>
              <w:t>72800</w:t>
            </w:r>
          </w:p>
        </w:tc>
        <w:tc>
          <w:tcPr>
            <w:tcW w:w="1200" w:type="dxa"/>
            <w:tcBorders>
              <w:top w:val="single" w:sz="4" w:space="0" w:color="auto"/>
              <w:left w:val="single" w:sz="4" w:space="0" w:color="auto"/>
              <w:bottom w:val="single" w:sz="4" w:space="0" w:color="auto"/>
              <w:right w:val="single" w:sz="4" w:space="0" w:color="auto"/>
            </w:tcBorders>
          </w:tcPr>
          <w:p w14:paraId="6EB13F04" w14:textId="77777777" w:rsidR="00E9717B" w:rsidRPr="00E9717B" w:rsidRDefault="00E9717B" w:rsidP="00E9717B">
            <w:pPr>
              <w:jc w:val="both"/>
              <w:rPr>
                <w:rFonts w:cs="Arial"/>
              </w:rPr>
            </w:pPr>
            <w:r w:rsidRPr="00E9717B">
              <w:rPr>
                <w:rFonts w:cs="Arial"/>
              </w:rPr>
              <w:t>112000</w:t>
            </w:r>
          </w:p>
        </w:tc>
        <w:tc>
          <w:tcPr>
            <w:tcW w:w="1517" w:type="dxa"/>
            <w:tcBorders>
              <w:top w:val="single" w:sz="4" w:space="0" w:color="auto"/>
              <w:left w:val="single" w:sz="4" w:space="0" w:color="auto"/>
              <w:bottom w:val="single" w:sz="4" w:space="0" w:color="auto"/>
              <w:right w:val="single" w:sz="4" w:space="0" w:color="auto"/>
            </w:tcBorders>
          </w:tcPr>
          <w:p w14:paraId="20CB7577" w14:textId="77777777" w:rsidR="00E9717B" w:rsidRPr="00E9717B" w:rsidRDefault="00E9717B" w:rsidP="00E9717B">
            <w:pPr>
              <w:jc w:val="both"/>
              <w:rPr>
                <w:rFonts w:cs="Arial"/>
              </w:rPr>
            </w:pPr>
            <w:r w:rsidRPr="00E9717B">
              <w:rPr>
                <w:rFonts w:cs="Arial"/>
              </w:rPr>
              <w:t>184800</w:t>
            </w:r>
          </w:p>
        </w:tc>
      </w:tr>
      <w:tr w:rsidR="00E9717B" w:rsidRPr="00E9717B" w14:paraId="675006AB" w14:textId="77777777" w:rsidTr="001F208C">
        <w:trPr>
          <w:trHeight w:val="427"/>
          <w:jc w:val="center"/>
        </w:trPr>
        <w:tc>
          <w:tcPr>
            <w:tcW w:w="1140" w:type="dxa"/>
            <w:tcBorders>
              <w:top w:val="single" w:sz="4" w:space="0" w:color="auto"/>
              <w:left w:val="single" w:sz="4" w:space="0" w:color="auto"/>
              <w:bottom w:val="nil"/>
              <w:right w:val="single" w:sz="4" w:space="0" w:color="auto"/>
            </w:tcBorders>
          </w:tcPr>
          <w:p w14:paraId="3F949F26" w14:textId="77777777" w:rsidR="00E9717B" w:rsidRPr="00E9717B" w:rsidRDefault="00E9717B" w:rsidP="00E9717B">
            <w:pPr>
              <w:tabs>
                <w:tab w:val="left" w:pos="-720"/>
              </w:tabs>
              <w:suppressAutoHyphens/>
              <w:spacing w:line="240" w:lineRule="atLeast"/>
              <w:jc w:val="both"/>
              <w:rPr>
                <w:rFonts w:cs="Arial"/>
              </w:rPr>
            </w:pPr>
            <w:r w:rsidRPr="00E9717B">
              <w:rPr>
                <w:rFonts w:cs="Arial"/>
              </w:rPr>
              <w:t>21-02</w:t>
            </w:r>
          </w:p>
        </w:tc>
        <w:tc>
          <w:tcPr>
            <w:tcW w:w="4380" w:type="dxa"/>
            <w:tcBorders>
              <w:top w:val="single" w:sz="4" w:space="0" w:color="auto"/>
              <w:left w:val="single" w:sz="4" w:space="0" w:color="auto"/>
              <w:bottom w:val="single" w:sz="4" w:space="0" w:color="auto"/>
              <w:right w:val="single" w:sz="4" w:space="0" w:color="auto"/>
            </w:tcBorders>
          </w:tcPr>
          <w:p w14:paraId="43AA414E" w14:textId="77777777" w:rsidR="00E9717B" w:rsidRPr="00E9717B" w:rsidRDefault="00E9717B" w:rsidP="00E9717B">
            <w:pPr>
              <w:pStyle w:val="Footer"/>
              <w:tabs>
                <w:tab w:val="left" w:pos="-720"/>
              </w:tabs>
              <w:suppressAutoHyphens/>
              <w:spacing w:line="240" w:lineRule="atLeast"/>
              <w:jc w:val="both"/>
              <w:rPr>
                <w:rFonts w:cs="Arial"/>
              </w:rPr>
            </w:pPr>
            <w:r w:rsidRPr="00E9717B">
              <w:rPr>
                <w:rFonts w:cs="Arial"/>
              </w:rPr>
              <w:t>Sub-contract 3 – Project terminal evaluation contractor</w:t>
            </w:r>
          </w:p>
        </w:tc>
        <w:tc>
          <w:tcPr>
            <w:tcW w:w="1328" w:type="dxa"/>
            <w:tcBorders>
              <w:top w:val="single" w:sz="4" w:space="0" w:color="auto"/>
              <w:left w:val="single" w:sz="4" w:space="0" w:color="auto"/>
              <w:bottom w:val="single" w:sz="4" w:space="0" w:color="auto"/>
              <w:right w:val="single" w:sz="4" w:space="0" w:color="auto"/>
            </w:tcBorders>
          </w:tcPr>
          <w:p w14:paraId="759838A1" w14:textId="77777777" w:rsidR="00E9717B" w:rsidRPr="00E9717B" w:rsidRDefault="00E9717B" w:rsidP="00E9717B">
            <w:pPr>
              <w:jc w:val="both"/>
              <w:rPr>
                <w:rFonts w:cs="Arial"/>
              </w:rPr>
            </w:pPr>
            <w:r w:rsidRPr="00E9717B">
              <w:rPr>
                <w:rFonts w:cs="Arial"/>
              </w:rPr>
              <w:t>-</w:t>
            </w:r>
          </w:p>
        </w:tc>
        <w:tc>
          <w:tcPr>
            <w:tcW w:w="1200" w:type="dxa"/>
            <w:tcBorders>
              <w:top w:val="single" w:sz="4" w:space="0" w:color="auto"/>
              <w:left w:val="single" w:sz="4" w:space="0" w:color="auto"/>
              <w:bottom w:val="single" w:sz="4" w:space="0" w:color="auto"/>
              <w:right w:val="single" w:sz="4" w:space="0" w:color="auto"/>
            </w:tcBorders>
          </w:tcPr>
          <w:p w14:paraId="6BC17CE2" w14:textId="77777777" w:rsidR="00E9717B" w:rsidRPr="00E9717B" w:rsidRDefault="00E9717B" w:rsidP="00E9717B">
            <w:pPr>
              <w:jc w:val="both"/>
              <w:rPr>
                <w:rFonts w:cs="Arial"/>
              </w:rPr>
            </w:pPr>
            <w:r w:rsidRPr="00E9717B">
              <w:rPr>
                <w:rFonts w:cs="Arial"/>
              </w:rPr>
              <w:t>25000</w:t>
            </w:r>
          </w:p>
        </w:tc>
        <w:tc>
          <w:tcPr>
            <w:tcW w:w="1517" w:type="dxa"/>
            <w:tcBorders>
              <w:top w:val="single" w:sz="4" w:space="0" w:color="auto"/>
              <w:left w:val="single" w:sz="4" w:space="0" w:color="auto"/>
              <w:bottom w:val="single" w:sz="4" w:space="0" w:color="auto"/>
              <w:right w:val="single" w:sz="4" w:space="0" w:color="auto"/>
            </w:tcBorders>
          </w:tcPr>
          <w:p w14:paraId="78E0E8CD" w14:textId="77777777" w:rsidR="00E9717B" w:rsidRPr="00E9717B" w:rsidRDefault="00E9717B" w:rsidP="00E9717B">
            <w:pPr>
              <w:jc w:val="both"/>
              <w:rPr>
                <w:rFonts w:cs="Arial"/>
              </w:rPr>
            </w:pPr>
            <w:r w:rsidRPr="00E9717B">
              <w:rPr>
                <w:rFonts w:cs="Arial"/>
              </w:rPr>
              <w:t>25000</w:t>
            </w:r>
          </w:p>
        </w:tc>
      </w:tr>
      <w:tr w:rsidR="00E9717B" w:rsidRPr="00E9717B" w14:paraId="37F2F867" w14:textId="77777777" w:rsidTr="001F208C">
        <w:trPr>
          <w:trHeight w:val="460"/>
          <w:jc w:val="center"/>
        </w:trPr>
        <w:tc>
          <w:tcPr>
            <w:tcW w:w="1140" w:type="dxa"/>
            <w:tcBorders>
              <w:top w:val="single" w:sz="4" w:space="0" w:color="auto"/>
              <w:left w:val="single" w:sz="4" w:space="0" w:color="auto"/>
              <w:bottom w:val="nil"/>
              <w:right w:val="single" w:sz="4" w:space="0" w:color="auto"/>
            </w:tcBorders>
          </w:tcPr>
          <w:p w14:paraId="041CB441" w14:textId="77777777" w:rsidR="00E9717B" w:rsidRPr="00E9717B" w:rsidRDefault="00E9717B" w:rsidP="00E9717B">
            <w:pPr>
              <w:tabs>
                <w:tab w:val="left" w:pos="-720"/>
              </w:tabs>
              <w:suppressAutoHyphens/>
              <w:spacing w:line="240" w:lineRule="atLeast"/>
              <w:jc w:val="both"/>
              <w:rPr>
                <w:rFonts w:cs="Arial"/>
              </w:rPr>
            </w:pPr>
            <w:r w:rsidRPr="00E9717B">
              <w:rPr>
                <w:rFonts w:cs="Arial"/>
              </w:rPr>
              <w:t>33-00</w:t>
            </w:r>
          </w:p>
        </w:tc>
        <w:tc>
          <w:tcPr>
            <w:tcW w:w="4380" w:type="dxa"/>
            <w:tcBorders>
              <w:top w:val="single" w:sz="4" w:space="0" w:color="auto"/>
              <w:left w:val="single" w:sz="4" w:space="0" w:color="auto"/>
              <w:bottom w:val="single" w:sz="4" w:space="0" w:color="auto"/>
              <w:right w:val="single" w:sz="4" w:space="0" w:color="auto"/>
            </w:tcBorders>
          </w:tcPr>
          <w:p w14:paraId="5C3BC4D4" w14:textId="77777777" w:rsidR="00E9717B" w:rsidRPr="00E9717B" w:rsidRDefault="00E9717B" w:rsidP="00E9717B">
            <w:pPr>
              <w:pStyle w:val="Footer"/>
              <w:tabs>
                <w:tab w:val="left" w:pos="-720"/>
              </w:tabs>
              <w:suppressAutoHyphens/>
              <w:spacing w:line="240" w:lineRule="atLeast"/>
              <w:jc w:val="both"/>
              <w:rPr>
                <w:rFonts w:cs="Arial"/>
              </w:rPr>
            </w:pPr>
            <w:r w:rsidRPr="00E9717B">
              <w:rPr>
                <w:rFonts w:cs="Arial"/>
              </w:rPr>
              <w:t xml:space="preserve">Conference, workshops, roundtables, meetings </w:t>
            </w:r>
          </w:p>
        </w:tc>
        <w:tc>
          <w:tcPr>
            <w:tcW w:w="1328" w:type="dxa"/>
            <w:tcBorders>
              <w:top w:val="single" w:sz="4" w:space="0" w:color="auto"/>
              <w:left w:val="single" w:sz="4" w:space="0" w:color="auto"/>
              <w:bottom w:val="single" w:sz="4" w:space="0" w:color="auto"/>
              <w:right w:val="single" w:sz="4" w:space="0" w:color="auto"/>
            </w:tcBorders>
          </w:tcPr>
          <w:p w14:paraId="7BFAE116" w14:textId="77777777" w:rsidR="00E9717B" w:rsidRPr="00E9717B" w:rsidRDefault="00E9717B" w:rsidP="00E9717B">
            <w:pPr>
              <w:jc w:val="both"/>
              <w:rPr>
                <w:rFonts w:cs="Arial"/>
              </w:rPr>
            </w:pPr>
            <w:r w:rsidRPr="00E9717B">
              <w:rPr>
                <w:rFonts w:cs="Arial"/>
              </w:rPr>
              <w:t>50000</w:t>
            </w:r>
          </w:p>
        </w:tc>
        <w:tc>
          <w:tcPr>
            <w:tcW w:w="1200" w:type="dxa"/>
            <w:tcBorders>
              <w:top w:val="single" w:sz="4" w:space="0" w:color="auto"/>
              <w:left w:val="single" w:sz="4" w:space="0" w:color="auto"/>
              <w:bottom w:val="single" w:sz="4" w:space="0" w:color="auto"/>
              <w:right w:val="single" w:sz="4" w:space="0" w:color="auto"/>
            </w:tcBorders>
          </w:tcPr>
          <w:p w14:paraId="629A14A8" w14:textId="77777777" w:rsidR="00E9717B" w:rsidRPr="00E9717B" w:rsidRDefault="00E9717B" w:rsidP="00E9717B">
            <w:pPr>
              <w:jc w:val="both"/>
              <w:rPr>
                <w:rFonts w:cs="Arial"/>
              </w:rPr>
            </w:pPr>
            <w:r w:rsidRPr="00E9717B">
              <w:rPr>
                <w:rFonts w:cs="Arial"/>
              </w:rPr>
              <w:t>20000</w:t>
            </w:r>
          </w:p>
        </w:tc>
        <w:tc>
          <w:tcPr>
            <w:tcW w:w="1517" w:type="dxa"/>
            <w:tcBorders>
              <w:top w:val="single" w:sz="4" w:space="0" w:color="auto"/>
              <w:left w:val="single" w:sz="4" w:space="0" w:color="auto"/>
              <w:bottom w:val="single" w:sz="4" w:space="0" w:color="auto"/>
              <w:right w:val="single" w:sz="4" w:space="0" w:color="auto"/>
            </w:tcBorders>
          </w:tcPr>
          <w:p w14:paraId="4C17610C" w14:textId="77777777" w:rsidR="00E9717B" w:rsidRPr="00E9717B" w:rsidRDefault="00E9717B" w:rsidP="00E9717B">
            <w:pPr>
              <w:jc w:val="both"/>
              <w:rPr>
                <w:rFonts w:cs="Arial"/>
              </w:rPr>
            </w:pPr>
            <w:r w:rsidRPr="00E9717B">
              <w:rPr>
                <w:rFonts w:cs="Arial"/>
              </w:rPr>
              <w:t>70000</w:t>
            </w:r>
          </w:p>
        </w:tc>
      </w:tr>
      <w:tr w:rsidR="00E9717B" w:rsidRPr="00E9717B" w14:paraId="26DD5DB3" w14:textId="77777777" w:rsidTr="001F208C">
        <w:trPr>
          <w:jc w:val="center"/>
        </w:trPr>
        <w:tc>
          <w:tcPr>
            <w:tcW w:w="1140" w:type="dxa"/>
            <w:tcBorders>
              <w:top w:val="single" w:sz="4" w:space="0" w:color="auto"/>
              <w:left w:val="single" w:sz="4" w:space="0" w:color="auto"/>
              <w:bottom w:val="single" w:sz="4" w:space="0" w:color="auto"/>
              <w:right w:val="single" w:sz="4" w:space="0" w:color="auto"/>
            </w:tcBorders>
          </w:tcPr>
          <w:p w14:paraId="7F306899" w14:textId="77777777" w:rsidR="00E9717B" w:rsidRPr="00E9717B" w:rsidRDefault="00E9717B" w:rsidP="00E9717B">
            <w:pPr>
              <w:tabs>
                <w:tab w:val="left" w:pos="-720"/>
              </w:tabs>
              <w:suppressAutoHyphens/>
              <w:spacing w:line="240" w:lineRule="atLeast"/>
              <w:jc w:val="both"/>
              <w:rPr>
                <w:rFonts w:cs="Arial"/>
              </w:rPr>
            </w:pPr>
            <w:r w:rsidRPr="00E9717B">
              <w:rPr>
                <w:rFonts w:cs="Arial"/>
              </w:rPr>
              <w:t>51-00</w:t>
            </w:r>
          </w:p>
        </w:tc>
        <w:tc>
          <w:tcPr>
            <w:tcW w:w="4380" w:type="dxa"/>
            <w:tcBorders>
              <w:top w:val="single" w:sz="4" w:space="0" w:color="auto"/>
              <w:left w:val="single" w:sz="4" w:space="0" w:color="auto"/>
              <w:bottom w:val="single" w:sz="4" w:space="0" w:color="auto"/>
              <w:right w:val="single" w:sz="4" w:space="0" w:color="auto"/>
            </w:tcBorders>
          </w:tcPr>
          <w:p w14:paraId="7F29A5F9" w14:textId="77777777" w:rsidR="00E9717B" w:rsidRPr="00E9717B" w:rsidRDefault="00E9717B" w:rsidP="00E9717B">
            <w:pPr>
              <w:tabs>
                <w:tab w:val="left" w:pos="-720"/>
              </w:tabs>
              <w:suppressAutoHyphens/>
              <w:spacing w:line="240" w:lineRule="atLeast"/>
              <w:jc w:val="both"/>
              <w:rPr>
                <w:rFonts w:cs="Arial"/>
              </w:rPr>
            </w:pPr>
            <w:r w:rsidRPr="00E9717B">
              <w:rPr>
                <w:rFonts w:cs="Arial"/>
              </w:rPr>
              <w:t>Communications, dissemination material, reports editing and printing, mailing, copying, media, translation, interpretation, IT services.</w:t>
            </w:r>
          </w:p>
        </w:tc>
        <w:tc>
          <w:tcPr>
            <w:tcW w:w="1328" w:type="dxa"/>
            <w:tcBorders>
              <w:top w:val="single" w:sz="4" w:space="0" w:color="auto"/>
              <w:left w:val="single" w:sz="4" w:space="0" w:color="auto"/>
              <w:bottom w:val="single" w:sz="4" w:space="0" w:color="auto"/>
              <w:right w:val="single" w:sz="4" w:space="0" w:color="auto"/>
            </w:tcBorders>
          </w:tcPr>
          <w:p w14:paraId="7BD12CFA" w14:textId="77777777" w:rsidR="00E9717B" w:rsidRPr="00E9717B" w:rsidRDefault="00E9717B" w:rsidP="00E9717B">
            <w:pPr>
              <w:jc w:val="both"/>
              <w:rPr>
                <w:rFonts w:cs="Arial"/>
              </w:rPr>
            </w:pPr>
            <w:r w:rsidRPr="00E9717B">
              <w:rPr>
                <w:rFonts w:cs="Arial"/>
              </w:rPr>
              <w:t>10500</w:t>
            </w:r>
          </w:p>
        </w:tc>
        <w:tc>
          <w:tcPr>
            <w:tcW w:w="1200" w:type="dxa"/>
            <w:tcBorders>
              <w:top w:val="single" w:sz="4" w:space="0" w:color="auto"/>
              <w:left w:val="single" w:sz="4" w:space="0" w:color="auto"/>
              <w:bottom w:val="single" w:sz="4" w:space="0" w:color="auto"/>
              <w:right w:val="single" w:sz="4" w:space="0" w:color="auto"/>
            </w:tcBorders>
          </w:tcPr>
          <w:p w14:paraId="22B765D6" w14:textId="77777777" w:rsidR="00E9717B" w:rsidRPr="00E9717B" w:rsidRDefault="00E9717B" w:rsidP="00E9717B">
            <w:pPr>
              <w:jc w:val="both"/>
              <w:rPr>
                <w:rFonts w:cs="Arial"/>
              </w:rPr>
            </w:pPr>
            <w:r w:rsidRPr="00E9717B">
              <w:rPr>
                <w:rFonts w:cs="Arial"/>
              </w:rPr>
              <w:t>18300</w:t>
            </w:r>
          </w:p>
        </w:tc>
        <w:tc>
          <w:tcPr>
            <w:tcW w:w="1517" w:type="dxa"/>
            <w:tcBorders>
              <w:top w:val="single" w:sz="4" w:space="0" w:color="auto"/>
              <w:left w:val="single" w:sz="4" w:space="0" w:color="auto"/>
              <w:bottom w:val="single" w:sz="4" w:space="0" w:color="auto"/>
              <w:right w:val="single" w:sz="4" w:space="0" w:color="auto"/>
            </w:tcBorders>
          </w:tcPr>
          <w:p w14:paraId="70CA95AF" w14:textId="77777777" w:rsidR="00E9717B" w:rsidRPr="00E9717B" w:rsidRDefault="00E9717B" w:rsidP="00E9717B">
            <w:pPr>
              <w:jc w:val="both"/>
              <w:rPr>
                <w:rFonts w:cs="Arial"/>
              </w:rPr>
            </w:pPr>
            <w:r w:rsidRPr="00E9717B">
              <w:rPr>
                <w:rFonts w:cs="Arial"/>
              </w:rPr>
              <w:t>28800</w:t>
            </w:r>
          </w:p>
        </w:tc>
      </w:tr>
      <w:tr w:rsidR="00E9717B" w:rsidRPr="00E9717B" w14:paraId="184E1F8A" w14:textId="77777777" w:rsidTr="001F208C">
        <w:trPr>
          <w:jc w:val="center"/>
        </w:trPr>
        <w:tc>
          <w:tcPr>
            <w:tcW w:w="1140" w:type="dxa"/>
            <w:tcBorders>
              <w:top w:val="single" w:sz="4" w:space="0" w:color="auto"/>
              <w:left w:val="single" w:sz="4" w:space="0" w:color="auto"/>
              <w:bottom w:val="single" w:sz="4" w:space="0" w:color="auto"/>
              <w:right w:val="single" w:sz="4" w:space="0" w:color="auto"/>
            </w:tcBorders>
          </w:tcPr>
          <w:p w14:paraId="15607113" w14:textId="77777777" w:rsidR="00E9717B" w:rsidRPr="00E9717B" w:rsidRDefault="00E9717B" w:rsidP="00E9717B">
            <w:pPr>
              <w:pStyle w:val="Heading5"/>
              <w:jc w:val="both"/>
              <w:rPr>
                <w:rFonts w:ascii="Arial" w:hAnsi="Arial" w:cs="Arial"/>
                <w:color w:val="auto"/>
              </w:rPr>
            </w:pPr>
            <w:r w:rsidRPr="00E9717B">
              <w:rPr>
                <w:rFonts w:ascii="Arial" w:hAnsi="Arial" w:cs="Arial"/>
                <w:color w:val="auto"/>
              </w:rPr>
              <w:t>Total</w:t>
            </w:r>
          </w:p>
        </w:tc>
        <w:tc>
          <w:tcPr>
            <w:tcW w:w="4380" w:type="dxa"/>
            <w:tcBorders>
              <w:top w:val="single" w:sz="4" w:space="0" w:color="auto"/>
              <w:left w:val="single" w:sz="4" w:space="0" w:color="auto"/>
              <w:bottom w:val="single" w:sz="4" w:space="0" w:color="auto"/>
              <w:right w:val="single" w:sz="4" w:space="0" w:color="auto"/>
            </w:tcBorders>
            <w:shd w:val="clear" w:color="auto" w:fill="E6E6E6"/>
          </w:tcPr>
          <w:p w14:paraId="2FDE9F99" w14:textId="77777777" w:rsidR="00E9717B" w:rsidRPr="00E9717B" w:rsidRDefault="00E9717B" w:rsidP="00E9717B">
            <w:pPr>
              <w:tabs>
                <w:tab w:val="left" w:pos="-720"/>
              </w:tabs>
              <w:suppressAutoHyphens/>
              <w:spacing w:line="240" w:lineRule="atLeast"/>
              <w:jc w:val="both"/>
              <w:rPr>
                <w:rFonts w:cs="Arial"/>
              </w:rPr>
            </w:pPr>
          </w:p>
        </w:tc>
        <w:tc>
          <w:tcPr>
            <w:tcW w:w="1328" w:type="dxa"/>
            <w:tcBorders>
              <w:top w:val="single" w:sz="4" w:space="0" w:color="auto"/>
              <w:left w:val="single" w:sz="4" w:space="0" w:color="auto"/>
              <w:bottom w:val="single" w:sz="4" w:space="0" w:color="auto"/>
              <w:right w:val="single" w:sz="4" w:space="0" w:color="auto"/>
            </w:tcBorders>
          </w:tcPr>
          <w:p w14:paraId="0A9D852E" w14:textId="77777777" w:rsidR="00E9717B" w:rsidRPr="00E9717B" w:rsidRDefault="00E9717B" w:rsidP="00E9717B">
            <w:pPr>
              <w:jc w:val="both"/>
              <w:rPr>
                <w:rFonts w:cs="Arial"/>
              </w:rPr>
            </w:pPr>
          </w:p>
          <w:p w14:paraId="580AEBF5" w14:textId="77777777" w:rsidR="00E9717B" w:rsidRPr="00E9717B" w:rsidRDefault="00E9717B" w:rsidP="00E9717B">
            <w:pPr>
              <w:jc w:val="both"/>
              <w:rPr>
                <w:rFonts w:cs="Arial"/>
              </w:rPr>
            </w:pPr>
            <w:r w:rsidRPr="00E9717B">
              <w:rPr>
                <w:rFonts w:cs="Arial"/>
              </w:rPr>
              <w:t>315200</w:t>
            </w:r>
          </w:p>
        </w:tc>
        <w:tc>
          <w:tcPr>
            <w:tcW w:w="1200" w:type="dxa"/>
            <w:tcBorders>
              <w:top w:val="single" w:sz="4" w:space="0" w:color="auto"/>
              <w:left w:val="single" w:sz="4" w:space="0" w:color="auto"/>
              <w:bottom w:val="single" w:sz="4" w:space="0" w:color="auto"/>
              <w:right w:val="single" w:sz="4" w:space="0" w:color="auto"/>
            </w:tcBorders>
          </w:tcPr>
          <w:p w14:paraId="360B0353" w14:textId="77777777" w:rsidR="00E9717B" w:rsidRPr="00E9717B" w:rsidRDefault="00E9717B" w:rsidP="00E9717B">
            <w:pPr>
              <w:jc w:val="both"/>
              <w:rPr>
                <w:rFonts w:cs="Arial"/>
              </w:rPr>
            </w:pPr>
          </w:p>
          <w:p w14:paraId="5F8B6184" w14:textId="77777777" w:rsidR="00E9717B" w:rsidRPr="00E9717B" w:rsidRDefault="00E9717B" w:rsidP="00E9717B">
            <w:pPr>
              <w:jc w:val="both"/>
              <w:rPr>
                <w:rFonts w:cs="Arial"/>
              </w:rPr>
            </w:pPr>
            <w:r w:rsidRPr="00E9717B">
              <w:rPr>
                <w:rFonts w:cs="Arial"/>
              </w:rPr>
              <w:t>277100</w:t>
            </w:r>
          </w:p>
        </w:tc>
        <w:tc>
          <w:tcPr>
            <w:tcW w:w="1517" w:type="dxa"/>
            <w:tcBorders>
              <w:top w:val="single" w:sz="4" w:space="0" w:color="auto"/>
              <w:left w:val="single" w:sz="4" w:space="0" w:color="auto"/>
              <w:bottom w:val="single" w:sz="4" w:space="0" w:color="auto"/>
              <w:right w:val="single" w:sz="4" w:space="0" w:color="auto"/>
            </w:tcBorders>
            <w:vAlign w:val="bottom"/>
          </w:tcPr>
          <w:p w14:paraId="0128E10B" w14:textId="77777777" w:rsidR="00E9717B" w:rsidRPr="00E9717B" w:rsidRDefault="00E9717B" w:rsidP="00E9717B">
            <w:pPr>
              <w:jc w:val="both"/>
              <w:rPr>
                <w:rFonts w:cs="Arial"/>
              </w:rPr>
            </w:pPr>
            <w:r w:rsidRPr="00E9717B">
              <w:rPr>
                <w:rFonts w:cs="Arial"/>
              </w:rPr>
              <w:t>592300</w:t>
            </w:r>
          </w:p>
        </w:tc>
      </w:tr>
      <w:tr w:rsidR="00E9717B" w:rsidRPr="00E9717B" w14:paraId="65583F87" w14:textId="77777777" w:rsidTr="001F208C">
        <w:trPr>
          <w:jc w:val="center"/>
        </w:trPr>
        <w:tc>
          <w:tcPr>
            <w:tcW w:w="1140" w:type="dxa"/>
            <w:tcBorders>
              <w:top w:val="single" w:sz="4" w:space="0" w:color="auto"/>
              <w:left w:val="single" w:sz="4" w:space="0" w:color="auto"/>
              <w:bottom w:val="single" w:sz="4" w:space="0" w:color="auto"/>
              <w:right w:val="single" w:sz="4" w:space="0" w:color="auto"/>
            </w:tcBorders>
          </w:tcPr>
          <w:p w14:paraId="081CC1FC" w14:textId="77777777" w:rsidR="00E9717B" w:rsidRPr="00E9717B" w:rsidRDefault="00E9717B" w:rsidP="00E9717B">
            <w:pPr>
              <w:tabs>
                <w:tab w:val="left" w:pos="-720"/>
              </w:tabs>
              <w:suppressAutoHyphens/>
              <w:spacing w:line="240" w:lineRule="atLeast"/>
              <w:jc w:val="both"/>
              <w:rPr>
                <w:rFonts w:cs="Arial"/>
              </w:rPr>
            </w:pPr>
            <w:r w:rsidRPr="00E9717B">
              <w:rPr>
                <w:rFonts w:cs="Arial"/>
              </w:rPr>
              <w:t>PSC (13%)</w:t>
            </w:r>
          </w:p>
        </w:tc>
        <w:tc>
          <w:tcPr>
            <w:tcW w:w="4380" w:type="dxa"/>
            <w:tcBorders>
              <w:top w:val="single" w:sz="4" w:space="0" w:color="auto"/>
              <w:left w:val="single" w:sz="4" w:space="0" w:color="auto"/>
              <w:bottom w:val="single" w:sz="4" w:space="0" w:color="auto"/>
              <w:right w:val="single" w:sz="4" w:space="0" w:color="auto"/>
            </w:tcBorders>
            <w:shd w:val="clear" w:color="auto" w:fill="E6E6E6"/>
          </w:tcPr>
          <w:p w14:paraId="524A9F26" w14:textId="77777777" w:rsidR="00E9717B" w:rsidRPr="00E9717B" w:rsidRDefault="00E9717B" w:rsidP="00E9717B">
            <w:pPr>
              <w:tabs>
                <w:tab w:val="left" w:pos="-720"/>
              </w:tabs>
              <w:suppressAutoHyphens/>
              <w:spacing w:line="240" w:lineRule="atLeast"/>
              <w:jc w:val="both"/>
              <w:rPr>
                <w:rFonts w:cs="Arial"/>
              </w:rPr>
            </w:pPr>
          </w:p>
        </w:tc>
        <w:tc>
          <w:tcPr>
            <w:tcW w:w="1328" w:type="dxa"/>
            <w:tcBorders>
              <w:top w:val="single" w:sz="4" w:space="0" w:color="auto"/>
              <w:left w:val="single" w:sz="4" w:space="0" w:color="auto"/>
              <w:bottom w:val="single" w:sz="4" w:space="0" w:color="auto"/>
              <w:right w:val="single" w:sz="4" w:space="0" w:color="auto"/>
            </w:tcBorders>
          </w:tcPr>
          <w:p w14:paraId="13C858A6" w14:textId="77777777" w:rsidR="00E9717B" w:rsidRPr="00E9717B" w:rsidRDefault="00E9717B" w:rsidP="00E9717B">
            <w:pPr>
              <w:jc w:val="both"/>
              <w:rPr>
                <w:rFonts w:cs="Arial"/>
              </w:rPr>
            </w:pPr>
          </w:p>
          <w:p w14:paraId="07FDA064" w14:textId="77777777" w:rsidR="00E9717B" w:rsidRPr="00E9717B" w:rsidRDefault="00E9717B" w:rsidP="00E9717B">
            <w:pPr>
              <w:jc w:val="both"/>
              <w:rPr>
                <w:rFonts w:cs="Arial"/>
              </w:rPr>
            </w:pPr>
            <w:r w:rsidRPr="00E9717B">
              <w:rPr>
                <w:rFonts w:cs="Arial"/>
              </w:rPr>
              <w:t>40976</w:t>
            </w:r>
          </w:p>
        </w:tc>
        <w:tc>
          <w:tcPr>
            <w:tcW w:w="1200" w:type="dxa"/>
            <w:tcBorders>
              <w:top w:val="single" w:sz="4" w:space="0" w:color="auto"/>
              <w:left w:val="single" w:sz="4" w:space="0" w:color="auto"/>
              <w:bottom w:val="single" w:sz="4" w:space="0" w:color="auto"/>
              <w:right w:val="single" w:sz="4" w:space="0" w:color="auto"/>
            </w:tcBorders>
          </w:tcPr>
          <w:p w14:paraId="27FEC5C4" w14:textId="77777777" w:rsidR="00E9717B" w:rsidRPr="00E9717B" w:rsidRDefault="00E9717B" w:rsidP="00E9717B">
            <w:pPr>
              <w:jc w:val="both"/>
              <w:rPr>
                <w:rFonts w:cs="Arial"/>
              </w:rPr>
            </w:pPr>
          </w:p>
          <w:p w14:paraId="73F5B4D6" w14:textId="77777777" w:rsidR="00E9717B" w:rsidRPr="00E9717B" w:rsidRDefault="00E9717B" w:rsidP="00E9717B">
            <w:pPr>
              <w:jc w:val="both"/>
              <w:rPr>
                <w:rFonts w:cs="Arial"/>
              </w:rPr>
            </w:pPr>
            <w:r w:rsidRPr="00E9717B">
              <w:rPr>
                <w:rFonts w:cs="Arial"/>
              </w:rPr>
              <w:t>36024</w:t>
            </w:r>
          </w:p>
        </w:tc>
        <w:tc>
          <w:tcPr>
            <w:tcW w:w="1517" w:type="dxa"/>
            <w:tcBorders>
              <w:top w:val="single" w:sz="4" w:space="0" w:color="auto"/>
              <w:left w:val="single" w:sz="4" w:space="0" w:color="auto"/>
              <w:bottom w:val="single" w:sz="4" w:space="0" w:color="auto"/>
              <w:right w:val="single" w:sz="4" w:space="0" w:color="auto"/>
            </w:tcBorders>
            <w:vAlign w:val="bottom"/>
          </w:tcPr>
          <w:p w14:paraId="34275E45" w14:textId="77777777" w:rsidR="00E9717B" w:rsidRPr="00E9717B" w:rsidRDefault="00E9717B" w:rsidP="00E9717B">
            <w:pPr>
              <w:jc w:val="both"/>
              <w:rPr>
                <w:rFonts w:cs="Arial"/>
              </w:rPr>
            </w:pPr>
            <w:r w:rsidRPr="00E9717B">
              <w:rPr>
                <w:rFonts w:cs="Arial"/>
              </w:rPr>
              <w:t>77000</w:t>
            </w:r>
          </w:p>
        </w:tc>
      </w:tr>
      <w:tr w:rsidR="00E9717B" w:rsidRPr="00E9717B" w14:paraId="515D1B68" w14:textId="77777777" w:rsidTr="001F208C">
        <w:trPr>
          <w:jc w:val="center"/>
        </w:trPr>
        <w:tc>
          <w:tcPr>
            <w:tcW w:w="1140" w:type="dxa"/>
            <w:tcBorders>
              <w:top w:val="single" w:sz="4" w:space="0" w:color="auto"/>
              <w:left w:val="single" w:sz="4" w:space="0" w:color="auto"/>
              <w:bottom w:val="single" w:sz="4" w:space="0" w:color="auto"/>
              <w:right w:val="single" w:sz="4" w:space="0" w:color="auto"/>
            </w:tcBorders>
          </w:tcPr>
          <w:p w14:paraId="0589FC4F" w14:textId="77777777" w:rsidR="00E9717B" w:rsidRPr="00E9717B" w:rsidRDefault="00E9717B" w:rsidP="00E9717B">
            <w:pPr>
              <w:pStyle w:val="Heading5"/>
              <w:jc w:val="both"/>
              <w:rPr>
                <w:rFonts w:ascii="Arial" w:hAnsi="Arial" w:cs="Arial"/>
                <w:color w:val="auto"/>
              </w:rPr>
            </w:pPr>
            <w:bookmarkStart w:id="4" w:name="OLE_LINK4"/>
            <w:r w:rsidRPr="00E9717B">
              <w:rPr>
                <w:rFonts w:ascii="Arial" w:hAnsi="Arial" w:cs="Arial"/>
                <w:color w:val="auto"/>
              </w:rPr>
              <w:t>Grand Total</w:t>
            </w:r>
          </w:p>
        </w:tc>
        <w:tc>
          <w:tcPr>
            <w:tcW w:w="4380" w:type="dxa"/>
            <w:tcBorders>
              <w:top w:val="single" w:sz="4" w:space="0" w:color="auto"/>
              <w:left w:val="single" w:sz="4" w:space="0" w:color="auto"/>
              <w:bottom w:val="single" w:sz="4" w:space="0" w:color="auto"/>
              <w:right w:val="single" w:sz="4" w:space="0" w:color="auto"/>
            </w:tcBorders>
            <w:shd w:val="clear" w:color="auto" w:fill="E6E6E6"/>
          </w:tcPr>
          <w:p w14:paraId="19A10325" w14:textId="77777777" w:rsidR="00E9717B" w:rsidRPr="00E9717B" w:rsidRDefault="00E9717B" w:rsidP="00E9717B">
            <w:pPr>
              <w:tabs>
                <w:tab w:val="left" w:pos="-720"/>
              </w:tabs>
              <w:suppressAutoHyphens/>
              <w:spacing w:line="240" w:lineRule="atLeast"/>
              <w:jc w:val="both"/>
              <w:rPr>
                <w:rFonts w:cs="Arial"/>
              </w:rPr>
            </w:pPr>
          </w:p>
        </w:tc>
        <w:tc>
          <w:tcPr>
            <w:tcW w:w="1328" w:type="dxa"/>
            <w:tcBorders>
              <w:top w:val="single" w:sz="4" w:space="0" w:color="auto"/>
              <w:left w:val="single" w:sz="4" w:space="0" w:color="auto"/>
              <w:bottom w:val="single" w:sz="4" w:space="0" w:color="auto"/>
              <w:right w:val="single" w:sz="4" w:space="0" w:color="auto"/>
            </w:tcBorders>
          </w:tcPr>
          <w:p w14:paraId="51026EDE" w14:textId="77777777" w:rsidR="00E9717B" w:rsidRPr="00E9717B" w:rsidRDefault="00E9717B" w:rsidP="00E9717B">
            <w:pPr>
              <w:jc w:val="both"/>
              <w:rPr>
                <w:rFonts w:cs="Arial"/>
              </w:rPr>
            </w:pPr>
          </w:p>
          <w:p w14:paraId="65641EFA" w14:textId="77777777" w:rsidR="00E9717B" w:rsidRPr="00E9717B" w:rsidRDefault="00E9717B" w:rsidP="00E9717B">
            <w:pPr>
              <w:jc w:val="both"/>
              <w:rPr>
                <w:rFonts w:cs="Arial"/>
              </w:rPr>
            </w:pPr>
            <w:r w:rsidRPr="00E9717B">
              <w:rPr>
                <w:rFonts w:cs="Arial"/>
              </w:rPr>
              <w:t>356176</w:t>
            </w:r>
          </w:p>
        </w:tc>
        <w:tc>
          <w:tcPr>
            <w:tcW w:w="1200" w:type="dxa"/>
            <w:tcBorders>
              <w:top w:val="single" w:sz="4" w:space="0" w:color="auto"/>
              <w:left w:val="single" w:sz="4" w:space="0" w:color="auto"/>
              <w:bottom w:val="single" w:sz="4" w:space="0" w:color="auto"/>
              <w:right w:val="single" w:sz="4" w:space="0" w:color="auto"/>
            </w:tcBorders>
          </w:tcPr>
          <w:p w14:paraId="4D053EFA" w14:textId="77777777" w:rsidR="00E9717B" w:rsidRPr="00E9717B" w:rsidRDefault="00E9717B" w:rsidP="00E9717B">
            <w:pPr>
              <w:jc w:val="both"/>
              <w:rPr>
                <w:rFonts w:cs="Arial"/>
              </w:rPr>
            </w:pPr>
          </w:p>
          <w:p w14:paraId="5D4DD4B6" w14:textId="77777777" w:rsidR="00E9717B" w:rsidRPr="00E9717B" w:rsidRDefault="00E9717B" w:rsidP="00E9717B">
            <w:pPr>
              <w:jc w:val="both"/>
              <w:rPr>
                <w:rFonts w:cs="Arial"/>
              </w:rPr>
            </w:pPr>
            <w:r w:rsidRPr="00E9717B">
              <w:rPr>
                <w:rFonts w:cs="Arial"/>
              </w:rPr>
              <w:t>313124</w:t>
            </w:r>
          </w:p>
        </w:tc>
        <w:tc>
          <w:tcPr>
            <w:tcW w:w="1517" w:type="dxa"/>
            <w:tcBorders>
              <w:top w:val="single" w:sz="4" w:space="0" w:color="auto"/>
              <w:left w:val="single" w:sz="4" w:space="0" w:color="auto"/>
              <w:bottom w:val="single" w:sz="4" w:space="0" w:color="auto"/>
              <w:right w:val="single" w:sz="4" w:space="0" w:color="auto"/>
            </w:tcBorders>
            <w:vAlign w:val="bottom"/>
          </w:tcPr>
          <w:p w14:paraId="0DE6266F" w14:textId="77777777" w:rsidR="00E9717B" w:rsidRPr="00E9717B" w:rsidRDefault="00E9717B" w:rsidP="00E9717B">
            <w:pPr>
              <w:jc w:val="both"/>
              <w:rPr>
                <w:rFonts w:cs="Arial"/>
              </w:rPr>
            </w:pPr>
            <w:r w:rsidRPr="00E9717B">
              <w:rPr>
                <w:rFonts w:cs="Arial"/>
              </w:rPr>
              <w:t>669300</w:t>
            </w:r>
          </w:p>
        </w:tc>
      </w:tr>
      <w:bookmarkEnd w:id="1"/>
      <w:bookmarkEnd w:id="4"/>
    </w:tbl>
    <w:p w14:paraId="7BF14FA0" w14:textId="77777777" w:rsidR="00E9717B" w:rsidRPr="00E9717B" w:rsidRDefault="00E9717B" w:rsidP="00E9717B">
      <w:pPr>
        <w:pStyle w:val="Header"/>
        <w:tabs>
          <w:tab w:val="left" w:pos="720"/>
        </w:tabs>
        <w:jc w:val="both"/>
        <w:rPr>
          <w:rFonts w:cs="Arial"/>
        </w:rPr>
      </w:pPr>
    </w:p>
    <w:p w14:paraId="279C81B4" w14:textId="00E36326" w:rsidR="00A66A77" w:rsidRPr="00E9717B" w:rsidRDefault="00E9717B" w:rsidP="00E9717B">
      <w:pPr>
        <w:jc w:val="both"/>
        <w:rPr>
          <w:rFonts w:cs="Arial"/>
        </w:rPr>
      </w:pPr>
      <w:r w:rsidRPr="00E9717B">
        <w:rPr>
          <w:rFonts w:cs="Arial"/>
        </w:rPr>
        <w:t xml:space="preserve">It is foreseen that ECO countries counterparts will provide preparatory contribution amounting to US$50,000 and provide in-kind staff time and temporary office space for short-term international experts on mission.  </w:t>
      </w:r>
    </w:p>
    <w:sectPr w:rsidR="00A66A77" w:rsidRPr="00E9717B"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9B9725" w14:textId="77777777" w:rsidR="00DD02A2" w:rsidRDefault="00DD02A2" w:rsidP="00E9717B">
      <w:pPr>
        <w:spacing w:after="0" w:line="240" w:lineRule="auto"/>
      </w:pPr>
      <w:r>
        <w:separator/>
      </w:r>
    </w:p>
  </w:endnote>
  <w:endnote w:type="continuationSeparator" w:id="0">
    <w:p w14:paraId="018EE831" w14:textId="77777777" w:rsidR="00DD02A2" w:rsidRDefault="00DD02A2" w:rsidP="00E97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4AFB2D" w14:textId="77777777" w:rsidR="00DD02A2" w:rsidRDefault="00DD02A2" w:rsidP="00E9717B">
      <w:pPr>
        <w:spacing w:after="0" w:line="240" w:lineRule="auto"/>
      </w:pPr>
      <w:r>
        <w:separator/>
      </w:r>
    </w:p>
  </w:footnote>
  <w:footnote w:type="continuationSeparator" w:id="0">
    <w:p w14:paraId="527193C8" w14:textId="77777777" w:rsidR="00DD02A2" w:rsidRDefault="00DD02A2" w:rsidP="00E971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1D8D5904"/>
    <w:multiLevelType w:val="hybridMultilevel"/>
    <w:tmpl w:val="C0065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29639D"/>
    <w:rsid w:val="00326F90"/>
    <w:rsid w:val="006A3C35"/>
    <w:rsid w:val="00790FBD"/>
    <w:rsid w:val="00994D9F"/>
    <w:rsid w:val="00A66A77"/>
    <w:rsid w:val="00AA1D8D"/>
    <w:rsid w:val="00B47730"/>
    <w:rsid w:val="00B47F78"/>
    <w:rsid w:val="00CB0664"/>
    <w:rsid w:val="00DD02A2"/>
    <w:rsid w:val="00E9717B"/>
    <w:rsid w:val="00F946E7"/>
    <w:rsid w:val="00FC693F"/>
    <w:rsid w:val="00FD53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056B9C6"/>
  <w14:defaultImageDpi w14:val="300"/>
  <w15:docId w15:val="{56F8FF95-DAC4-44B3-9A24-3B5DA22AF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rPr>
      <w:rFonts w:ascii="Arial" w:hAnsi="Arial"/>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41561B-8B9E-4AAA-914B-9CD13A267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816</Words>
  <Characters>4652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5458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Morteza Khansari Bozorgi</cp:lastModifiedBy>
  <cp:revision>2</cp:revision>
  <dcterms:created xsi:type="dcterms:W3CDTF">2026-04-27T09:40:00Z</dcterms:created>
  <dcterms:modified xsi:type="dcterms:W3CDTF">2026-04-27T09:40:00Z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c17e7442-d80a-40cb-b119-5d354052da52</vt:lpwstr>
  </property>
</Properties>
</file>